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PROJECT NORTH STAR</w:t>
      </w:r>
    </w:p>
    <w:p>
      <w:pPr>
        <w:pBdr>
          <w:bottom w:val="single" w:color="2E5DA6" w:sz="4" w:space="6"/>
        </w:pBdr>
        <w:spacing w:after="200"/>
        <w:jc w:val="center"/>
      </w:pPr>
      <w:r>
        <w:rPr>
          <w:rFonts w:ascii="Arial" w:cs="Arial" w:eastAsia="Arial" w:hAnsi="Arial"/>
          <w:color w:val="2E5DA6"/>
          <w:sz w:val="32"/>
          <w:szCs w:val="32"/>
        </w:rPr>
        <w:t xml:space="preserve">Section 5 — Technical Trade-offs</w:t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3 Engineering vs. Product Decisions  ·  Context  ·  Options  ·  Outcomes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1.4  ·  Sprint 14  ·  July 2024</w:t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 Trade-off Framework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Every trade-off on this program was evaluated using four questions before a decision was made: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is the delivery risk if we do this now? — Schedule, quality, or stability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is the business risk if we defer this? — Revenue, compliance, or customer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 it be phased? — Is there a version that ships now with a clear path to full delivery later?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Who accepts the risk in writing? — Every decision is owned by a named person in the Decision Register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No trade-off was made verbally. Every decision below is in the Decision Register with a named owner.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 Trade-off #1 — Real-Time CNAM vs. On-Time Wave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Decision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June 15, 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Decision maker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Marcus Okafor (Product) — accepted engineering recommendation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Decision Register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DR-005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The 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Engineering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Product 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Defer CNAM — API unstable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Ship real-time CNAM with Wave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Vendor API is not load-tested, has no SLA, and has no fallback. Shipping it introduces P1 call failure risk for all toll-free callers.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12% of enterprise prospects specifically ask about CNAM. Delay puts us behind Competitor X who launched in June.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Options Evaluated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2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Quality Risk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Business 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 — Ship real-time CNAM now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 — API unstable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 — Defer CNAM entirely to Q1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 — 6-month gap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7"/>
                <w:szCs w:val="17"/>
              </w:rPr>
              <w:t xml:space="preserve">C — Static now, real-time Q1 2025 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7"/>
                <w:szCs w:val="17"/>
              </w:rPr>
              <w:t xml:space="preserve">LOW — CSV reliable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7"/>
                <w:szCs w:val="17"/>
              </w:rPr>
              <w:t xml:space="preserve">LOW — feature ships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3B6D11" w:sz="8" w:space="4"/>
        </w:pBdr>
        <w:shd w:fill="3B6D11" w:val="clear"/>
        <w:spacing w:after="120" w:before="12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Decision: Option C — Static CNAM at Wave 3, real-time CNAM in Q1 2025 (TD-007) 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 product accepted: Engineering provided a written risk assessment confirming zero SLA impact for 90 days. TPM framed it as 'the feature ships — it just doesn't update in real time yet.' Product briefed the sales team directly on the weekly refresh caveat.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5.3  Trade-off #2 — Multi-Region Failover vs. Cost Ceiling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Decision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February 2, 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Decision maker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Sarah Chen — VP Engineering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Decision Register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DR-004 (also ADR-004)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The 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Engineering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Product 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Active-active multi-region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Single-region — budget constraint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AZ failure = total call failure. 4-hour blast radius unacceptable for customer-facing system. Active-active (us-east-1 + us-west-2) provides ~15 min recovery.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$18,000/month ($216K/year) for multi-region requires board approval. Legacy PBX ran at 99.7% — even single-region is a major reliability improvement.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Options Evaluated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13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Monthly Cost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Recovery Time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Complexity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Selected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7"/>
                <w:szCs w:val="17"/>
              </w:rPr>
              <w:t xml:space="preserve">A — Single-region, Multi-AZ 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~4 hrs (AZ failure)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 — Active-active multi-region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+$18,000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~15 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FY2025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 — Warm standby us-west-2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+$6,500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~45 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7"/>
                <w:szCs w:val="17"/>
              </w:rPr>
              <w:t xml:space="preserve">No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3B6D11" w:sz="8" w:space="4"/>
        </w:pBdr>
        <w:shd w:fill="3B6D11" w:val="clear"/>
        <w:spacing w:after="120" w:before="12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Decision: Option A — Single-region (us-east-1) Multi-AZ with enhanced monitoring 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Mitigations added: Route 53 health checks (30-sec detection), CloudWatch alarms at 99% threshold, PagerDuty P1 escalation, regional outage runbook. Risk formally accepted by Sarah Chen in writing.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5.4  Trade-off #3 — Greenfield IVR Rebuild vs. Lift-and-Shift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Decision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January 28, 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Decision maker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TPM facilitated — Marcus Okafor (Product) accepted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Decision Register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DR-002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The 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Engineering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Product 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Greenfield rebuild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Lift-and-shift — behavior parity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Legacy flows carry 11 years of undocumented debt. Greenfield enables AWS Connect ML routing and Contact Lens analytics from day one.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CX team has 4 live A/B tests on IVR. Greenfield breaks tested sequences. Requests zero behavior change until data supports it.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Options Evaluated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20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Business 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 — Full lift-and-shift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Fastest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Carries all legacy debt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A/B tests preserved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7"/>
                <w:szCs w:val="17"/>
              </w:rPr>
              <w:t xml:space="preserve">B — Greenfield + parity gate 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+3 weeks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Clean architecture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A/B tests paused 2 wks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 — Hybrid (core lift-and-shift, new flows greenfield)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+1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Partial debt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A/B tests partially preserved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3B6D11" w:sz="8" w:space="4"/>
        </w:pBdr>
        <w:shd w:fill="3B6D11" w:val="clear"/>
        <w:spacing w:after="120" w:before="12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Decision: Option B — Greenfield rebuild with feature parity gate + CX discovery sprint 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 product accepted: Staging data showed 15% improvement in Average Speed to Answer (ASA). TPM presented the data in the trade-off review. Product shifted from 'we need identical behavior' to 'we need equal or better outcomes.'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5.5  Trade-off Decision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700"/>
        <w:gridCol w:w="1700"/>
        <w:gridCol w:w="22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Trade-off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Eng Wanted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 Wanted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CNAM delivery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Defer — API unstable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Ship now — sales need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7"/>
                <w:szCs w:val="17"/>
              </w:rPr>
              <w:t xml:space="preserve">Static now, RT in Q1 2025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Marcus 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Multi-region failover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Active-active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Single-region budget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Single-region + monitoring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Sarah 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IVR approach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Greenfield rebuild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Lift-and-shift parity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7"/>
                <w:szCs w:val="17"/>
              </w:rPr>
              <w:t xml:space="preserve">Greenfield + parity gate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TPM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top w:val="single" w:color="2E5DA6" w:sz="2" w:space="6"/>
        </w:pBdr>
        <w:spacing w:before="480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Next section: </w:t>
      </w:r>
      <w:r>
        <w:rPr>
          <w:rFonts w:ascii="Arial" w:cs="Arial" w:eastAsia="Arial" w:hAnsi="Arial"/>
          <w:b/>
          <w:bCs/>
          <w:color w:val="2E5DA6"/>
          <w:sz w:val="18"/>
          <w:szCs w:val="18"/>
        </w:rPr>
        <w:t xml:space="preserve">Technical Debt Strategy →  program-management/technical-debt-register.md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6C757D"/>
        <w:sz w:val="16"/>
        <w:szCs w:val="16"/>
      </w:rPr>
      <w:t xml:space="preserve">Trade-off Register v1.4  ·  Last updated: 2024-07-12  ·  Owner: TPM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A6" w:sz="2" w:space="4"/>
      </w:pBdr>
    </w:pPr>
    <w:r>
      <w:rPr>
        <w:rFonts w:ascii="Arial" w:cs="Arial" w:eastAsia="Arial" w:hAnsi="Arial"/>
        <w:color w:val="6C757D"/>
        <w:sz w:val="16"/>
        <w:szCs w:val="16"/>
      </w:rPr>
      <w:t xml:space="preserve">PROJECT NORTH STAR  ·  Technical Trade-offs  ·  Section 5 of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D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2026-04-06T23:02:47.601Z</dcterms:created>
  <dcterms:modified xsi:type="dcterms:W3CDTF">2026-04-06T23:02:47.602Z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