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1B2A4A"/>
          <w:sz w:val="72"/>
          <w:szCs w:val="72"/>
        </w:rPr>
        <w:t xml:space="preserve">PROJECT NORTH STAR</w:t>
      </w:r>
    </w:p>
    <w:p>
      <w:pPr>
        <w:pBdr>
          <w:bottom w:val="single" w:color="2E5DA6" w:sz="4" w:space="6"/>
        </w:pBdr>
        <w:spacing w:after="200"/>
        <w:jc w:val="center"/>
      </w:pPr>
      <w:r>
        <w:rPr>
          <w:rFonts w:ascii="Arial" w:cs="Arial" w:eastAsia="Arial" w:hAnsi="Arial"/>
          <w:color w:val="2E5DA6"/>
          <w:sz w:val="32"/>
          <w:szCs w:val="32"/>
        </w:rPr>
        <w:t xml:space="preserve">Section 6 — Technical Debt Strategy</w:t>
      </w:r>
    </w:p>
    <w:p>
      <w:pPr>
        <w:spacing w:after="100"/>
      </w:pPr>
      <w:r>
        <w:t xml:space="preserve"/>
      </w:r>
    </w:p>
    <w:p>
      <w:pPr>
        <w:jc w:val="center"/>
      </w:pPr>
      <w:r>
        <w:rPr>
          <w:rFonts w:ascii="Arial" w:cs="Arial" w:eastAsia="Arial" w:hAnsi="Arial"/>
          <w:color w:val="6C757D"/>
          <w:sz w:val="20"/>
          <w:szCs w:val="20"/>
        </w:rPr>
        <w:t xml:space="preserve">Debt Register  ·  Impact Scoring  ·  P1 Playbooks  ·  Trend Analysis  ·  Stakeholder Comms</w:t>
      </w:r>
    </w:p>
    <w:p>
      <w:pPr>
        <w:spacing w:after="100"/>
      </w:pPr>
      <w:r>
        <w:t xml:space="preserve"/>
      </w:r>
    </w:p>
    <w:p>
      <w:pPr>
        <w:spacing w:after="100"/>
      </w:pPr>
      <w:r>
        <w:t xml:space="preserve"/>
      </w:r>
    </w:p>
    <w:p>
      <w:pPr>
        <w:jc w:val="center"/>
      </w:pPr>
      <w:r>
        <w:rPr>
          <w:rFonts w:ascii="Arial" w:cs="Arial" w:eastAsia="Arial" w:hAnsi="Arial"/>
          <w:color w:val="6C757D"/>
          <w:sz w:val="18"/>
          <w:szCs w:val="18"/>
        </w:rPr>
        <w:t xml:space="preserve">Version 2.1  ·  Sprint 14  ·  14 items  ·  3 P1 open</w:t>
      </w:r>
    </w:p>
    <w:p>
      <w:r>
        <w:br w:type="page"/>
      </w:r>
    </w:p>
    <w:p>
      <w:pPr>
        <w:pStyle w:val="Heading1"/>
        <w:pBdr>
          <w:bottom w:val="single" w:color="2E5DA6" w:sz="4" w:space="4"/>
        </w:pBdr>
        <w:spacing w:after="120" w:before="360"/>
      </w:pPr>
      <w:r>
        <w:rPr>
          <w:rFonts w:ascii="Arial" w:cs="Arial" w:eastAsia="Arial" w:hAnsi="Arial"/>
          <w:b/>
          <w:bCs/>
          <w:color w:val="1B2A4A"/>
          <w:sz w:val="28"/>
          <w:szCs w:val="28"/>
        </w:rPr>
        <w:t xml:space="preserve">6.1  Technical Debt Philosophy</w:t>
      </w:r>
    </w:p>
    <w:p>
      <w:pPr>
        <w:spacing w:after="100"/>
      </w:pPr>
      <w:r>
        <w:rPr>
          <w:rFonts w:ascii="Arial" w:cs="Arial" w:eastAsia="Arial" w:hAnsi="Arial"/>
          <w:sz w:val="20"/>
          <w:szCs w:val="20"/>
        </w:rPr>
        <w:t xml:space="preserve">Technical debt on this program is tracked in the same Jira board as features, scored with the same priority system, and reviewed by the same stakeholders. Debt that is invisible is debt that doesn't get paid.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6"/>
                <w:szCs w:val="16"/>
              </w:rPr>
              <w:t xml:space="preserve">Type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6"/>
                <w:szCs w:val="16"/>
              </w:rPr>
              <w:t xml:space="preserve">Definition</w:t>
            </w:r>
          </w:p>
        </w:tc>
        <w:tc>
          <w:tcPr>
            <w:tcW w:type="dxa" w:w="456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6"/>
                <w:szCs w:val="16"/>
              </w:rPr>
              <w:t xml:space="preserve">Example on NORTH STAR</w:t>
            </w:r>
          </w:p>
        </w:tc>
      </w:tr>
      <w:tr>
        <w:tc>
          <w:tcPr>
            <w:tcW w:type="dxa" w:w="16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color w:val="856404"/>
                <w:sz w:val="16"/>
                <w:szCs w:val="16"/>
              </w:rPr>
              <w:t xml:space="preserve">Intentional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Conscious short-cut with a plan to fix</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SIP credentials in env vars (TD-001) — done to meet Wave 1 deadline</w:t>
            </w:r>
          </w:p>
        </w:tc>
      </w:tr>
      <w:tr>
        <w:tc>
          <w:tcPr>
            <w:tcW w:type="dxa" w:w="16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0C447C"/>
                <w:sz w:val="16"/>
                <w:szCs w:val="16"/>
              </w:rPr>
              <w:t xml:space="preserve">Accidental</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Discovered after the fact — no one chose it</w:t>
            </w:r>
          </w:p>
        </w:tc>
        <w:tc>
          <w:tcPr>
            <w:tcW w:type="dxa" w:w="4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Terraform local state (TD-003) — prototype left in place</w:t>
            </w:r>
          </w:p>
        </w:tc>
      </w:tr>
      <w:tr>
        <w:tc>
          <w:tcPr>
            <w:tcW w:type="dxa" w:w="1600"/>
            <w:tcBorders>
              <w:top w:val="single" w:color="CCCCCC" w:sz="1"/>
              <w:left w:val="single" w:color="CCCCCC" w:sz="1"/>
              <w:bottom w:val="single" w:color="CCCCCC" w:sz="1"/>
              <w:right w:val="single" w:color="CCCCCC" w:sz="1"/>
            </w:tcBorders>
            <w:shd w:fill="EEEDFE" w:val="clear"/>
            <w:tcMar>
              <w:top w:type="dxa" w:w="60"/>
              <w:left w:type="dxa" w:w="100"/>
              <w:bottom w:type="dxa" w:w="60"/>
              <w:right w:type="dxa" w:w="100"/>
            </w:tcMar>
          </w:tcPr>
          <w:p>
            <w:r>
              <w:rPr>
                <w:rFonts w:ascii="Arial" w:cs="Arial" w:eastAsia="Arial" w:hAnsi="Arial"/>
                <w:b/>
                <w:bCs/>
                <w:color w:val="534AB7"/>
                <w:sz w:val="16"/>
                <w:szCs w:val="16"/>
              </w:rPr>
              <w:t xml:space="preserve">Architectural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Known design limitation, deferred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IVR flows not in version control (TD-004) — AWS Connect limitation</w:t>
            </w:r>
          </w:p>
        </w:tc>
      </w:tr>
    </w:tbl>
    <w:p>
      <w:pPr>
        <w:spacing w:after="100"/>
      </w:pPr>
      <w:r>
        <w:t xml:space="preserve"/>
      </w:r>
    </w:p>
    <w:p>
      <w:pPr>
        <w:pStyle w:val="Heading2"/>
        <w:spacing w:after="80" w:before="240"/>
      </w:pPr>
      <w:r>
        <w:rPr>
          <w:rFonts w:ascii="Arial" w:cs="Arial" w:eastAsia="Arial" w:hAnsi="Arial"/>
          <w:b/>
          <w:bCs/>
          <w:color w:val="2E5DA6"/>
          <w:sz w:val="22"/>
          <w:szCs w:val="22"/>
        </w:rPr>
        <w:t xml:space="preserve">Debt Management Rules</w:t>
      </w:r>
    </w:p>
    <w:p>
      <w:pPr>
        <w:pStyle w:val="ListParagraph"/>
        <w:numPr>
          <w:ilvl w:val="0"/>
          <w:numId w:val="2"/>
        </w:numPr>
        <w:spacing w:after="60"/>
      </w:pPr>
      <w:r>
        <w:rPr>
          <w:rFonts w:ascii="Arial" w:cs="Arial" w:eastAsia="Arial" w:hAnsi="Arial"/>
          <w:sz w:val="20"/>
          <w:szCs w:val="20"/>
        </w:rPr>
        <w:t xml:space="preserve">Every intentional debt item must be logged at creation — not after the fact</w:t>
      </w:r>
    </w:p>
    <w:p>
      <w:pPr>
        <w:pStyle w:val="ListParagraph"/>
        <w:numPr>
          <w:ilvl w:val="0"/>
          <w:numId w:val="2"/>
        </w:numPr>
        <w:spacing w:after="60"/>
      </w:pPr>
      <w:r>
        <w:rPr>
          <w:rFonts w:ascii="Arial" w:cs="Arial" w:eastAsia="Arial" w:hAnsi="Arial"/>
          <w:sz w:val="20"/>
          <w:szCs w:val="20"/>
        </w:rPr>
        <w:t xml:space="preserve">P1 items are automatically added to the next sprint backlog — they cannot be ignored</w:t>
      </w:r>
    </w:p>
    <w:p>
      <w:pPr>
        <w:pStyle w:val="ListParagraph"/>
        <w:numPr>
          <w:ilvl w:val="0"/>
          <w:numId w:val="2"/>
        </w:numPr>
        <w:spacing w:after="60"/>
      </w:pPr>
      <w:r>
        <w:rPr>
          <w:rFonts w:ascii="Arial" w:cs="Arial" w:eastAsia="Arial" w:hAnsi="Arial"/>
          <w:sz w:val="20"/>
          <w:szCs w:val="20"/>
        </w:rPr>
        <w:t xml:space="preserve">15% sprint velocity is reserved for debt — ~6 of 42 story points per sprint</w:t>
      </w:r>
    </w:p>
    <w:p>
      <w:pPr>
        <w:pStyle w:val="ListParagraph"/>
        <w:numPr>
          <w:ilvl w:val="0"/>
          <w:numId w:val="2"/>
        </w:numPr>
        <w:spacing w:after="60"/>
      </w:pPr>
      <w:r>
        <w:rPr>
          <w:rFonts w:ascii="Arial" w:cs="Arial" w:eastAsia="Arial" w:hAnsi="Arial"/>
          <w:sz w:val="20"/>
          <w:szCs w:val="20"/>
        </w:rPr>
        <w:t xml:space="preserve">Debt is never deferred more than 2 sprints without executive sign-off</w:t>
      </w:r>
    </w:p>
    <w:p>
      <w:pPr>
        <w:pStyle w:val="ListParagraph"/>
        <w:numPr>
          <w:ilvl w:val="0"/>
          <w:numId w:val="2"/>
        </w:numPr>
        <w:spacing w:after="60"/>
      </w:pPr>
      <w:r>
        <w:rPr>
          <w:rFonts w:ascii="Arial" w:cs="Arial" w:eastAsia="Arial" w:hAnsi="Arial"/>
          <w:sz w:val="20"/>
          <w:szCs w:val="20"/>
        </w:rPr>
        <w:t xml:space="preserve">Each debt item carries an Impact Score = (Security Risk × 2) + (Delivery Risk × 2) − Effort</w:t>
      </w:r>
    </w:p>
    <w:p>
      <w:pPr>
        <w:spacing w:after="100"/>
      </w:pPr>
      <w:r>
        <w:t xml:space="preserve"/>
      </w:r>
    </w:p>
    <w:p>
      <w:r>
        <w:br w:type="page"/>
      </w:r>
    </w:p>
    <w:p>
      <w:pPr>
        <w:pStyle w:val="Heading1"/>
        <w:pBdr>
          <w:bottom w:val="single" w:color="2E5DA6" w:sz="4" w:space="4"/>
        </w:pBdr>
        <w:spacing w:after="120" w:before="360"/>
      </w:pPr>
      <w:r>
        <w:rPr>
          <w:rFonts w:ascii="Arial" w:cs="Arial" w:eastAsia="Arial" w:hAnsi="Arial"/>
          <w:b/>
          <w:bCs/>
          <w:color w:val="1B2A4A"/>
          <w:sz w:val="28"/>
          <w:szCs w:val="28"/>
        </w:rPr>
        <w:t xml:space="preserve">6.2  Technical Debt Register — Sprint 14</w:t>
      </w:r>
    </w:p>
    <w:p>
      <w:pPr>
        <w:spacing w:after="100"/>
      </w:pPr>
      <w:r>
        <w:rPr>
          <w:rFonts w:ascii="Arial" w:cs="Arial" w:eastAsia="Arial" w:hAnsi="Arial"/>
          <w:b/>
          <w:bCs/>
          <w:color w:val="6C757D"/>
          <w:sz w:val="20"/>
          <w:szCs w:val="20"/>
        </w:rPr>
        <w:t xml:space="preserve">Total: 14 items  ·  P1 Open: 3  ·  P2 Open: 5  ·  Resolved: 6</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500"/>
        <w:gridCol w:w="500"/>
        <w:gridCol w:w="500"/>
        <w:gridCol w:w="500"/>
        <w:gridCol w:w="500"/>
        <w:gridCol w:w="700"/>
        <w:gridCol w:w="800"/>
        <w:gridCol w:w="1060"/>
      </w:tblGrid>
      <w:tr>
        <w:trPr>
          <w:tblHeader/>
        </w:trPr>
        <w:tc>
          <w:tcPr>
            <w:tcW w:type="dxa" w:w="7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6"/>
                <w:szCs w:val="16"/>
              </w:rPr>
              <w:t xml:space="preserve">ID</w:t>
            </w:r>
          </w:p>
        </w:tc>
        <w:tc>
          <w:tcPr>
            <w:tcW w:type="dxa" w:w="26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6"/>
                <w:szCs w:val="16"/>
              </w:rPr>
              <w:t xml:space="preserve">Debt Item</w:t>
            </w:r>
          </w:p>
        </w:tc>
        <w:tc>
          <w:tcPr>
            <w:tcW w:type="dxa" w:w="15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6"/>
                <w:szCs w:val="16"/>
              </w:rPr>
              <w:t xml:space="preserve">Origin</w:t>
            </w:r>
          </w:p>
        </w:tc>
        <w:tc>
          <w:tcPr>
            <w:tcW w:type="dxa" w:w="5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6"/>
                <w:szCs w:val="16"/>
              </w:rPr>
              <w:t xml:space="preserve">Pri</w:t>
            </w:r>
          </w:p>
        </w:tc>
        <w:tc>
          <w:tcPr>
            <w:tcW w:type="dxa" w:w="5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6"/>
                <w:szCs w:val="16"/>
              </w:rPr>
              <w:t xml:space="preserve">Sec</w:t>
            </w:r>
          </w:p>
        </w:tc>
        <w:tc>
          <w:tcPr>
            <w:tcW w:type="dxa" w:w="5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6"/>
                <w:szCs w:val="16"/>
              </w:rPr>
              <w:t xml:space="preserve">Del</w:t>
            </w:r>
          </w:p>
        </w:tc>
        <w:tc>
          <w:tcPr>
            <w:tcW w:type="dxa" w:w="5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6"/>
                <w:szCs w:val="16"/>
              </w:rPr>
              <w:t xml:space="preserve">Eff</w:t>
            </w:r>
          </w:p>
        </w:tc>
        <w:tc>
          <w:tcPr>
            <w:tcW w:type="dxa" w:w="7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6"/>
                <w:szCs w:val="16"/>
              </w:rPr>
              <w:t xml:space="preserve">Score</w:t>
            </w:r>
          </w:p>
        </w:tc>
        <w:tc>
          <w:tcPr>
            <w:tcW w:type="dxa" w:w="8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6"/>
                <w:szCs w:val="16"/>
              </w:rPr>
              <w:t xml:space="preserve">Sprint</w:t>
            </w:r>
          </w:p>
        </w:tc>
        <w:tc>
          <w:tcPr>
            <w:tcW w:type="dxa" w:w="106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6"/>
                <w:szCs w:val="16"/>
              </w:rPr>
              <w:t xml:space="preserve">Status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TD-001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Hardcoded SIP creds in Lambda env vars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Speed-to-ship W1</w:t>
            </w:r>
          </w:p>
        </w:tc>
        <w:tc>
          <w:tcPr>
            <w:tcW w:type="dxa" w:w="500"/>
            <w:tcBorders>
              <w:top w:val="single" w:color="CCCCCC" w:sz="1"/>
              <w:left w:val="single" w:color="CCCCCC" w:sz="1"/>
              <w:bottom w:val="single" w:color="CCCCCC" w:sz="1"/>
              <w:right w:val="single" w:color="CCCCCC" w:sz="1"/>
            </w:tcBorders>
            <w:shd w:fill="A32D2D" w:val="clear"/>
            <w:tcMar>
              <w:top w:type="dxa" w:w="60"/>
              <w:left w:type="dxa" w:w="100"/>
              <w:bottom w:type="dxa" w:w="60"/>
              <w:right w:type="dxa" w:w="100"/>
            </w:tcMar>
          </w:tcPr>
          <w:p>
            <w:r>
              <w:rPr>
                <w:rFonts w:ascii="Arial" w:cs="Arial" w:eastAsia="Arial" w:hAnsi="Arial"/>
                <w:b/>
                <w:bCs/>
                <w:color w:val="FFFFFF"/>
                <w:sz w:val="16"/>
                <w:szCs w:val="16"/>
              </w:rPr>
              <w:t xml:space="preserve">P1</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5</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4</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2</w:t>
            </w:r>
          </w:p>
        </w:tc>
        <w:tc>
          <w:tcPr>
            <w:tcW w:type="dxa" w:w="700"/>
            <w:tcBorders>
              <w:top w:val="single" w:color="CCCCCC" w:sz="1"/>
              <w:left w:val="single" w:color="CCCCCC" w:sz="1"/>
              <w:bottom w:val="single" w:color="CCCCCC" w:sz="1"/>
              <w:right w:val="single" w:color="CCCCCC" w:sz="1"/>
            </w:tcBorders>
            <w:shd w:fill="A32D2D" w:val="clear"/>
            <w:tcMar>
              <w:top w:type="dxa" w:w="60"/>
              <w:left w:type="dxa" w:w="100"/>
              <w:bottom w:type="dxa" w:w="60"/>
              <w:right w:type="dxa" w:w="100"/>
            </w:tcMar>
          </w:tcPr>
          <w:p>
            <w:r>
              <w:rPr>
                <w:rFonts w:ascii="Arial" w:cs="Arial" w:eastAsia="Arial" w:hAnsi="Arial"/>
                <w:b/>
                <w:bCs/>
                <w:color w:val="FFFFFF"/>
                <w:sz w:val="16"/>
                <w:szCs w:val="16"/>
              </w:rPr>
              <w:t xml:space="preserve">16</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S15</w:t>
            </w:r>
          </w:p>
        </w:tc>
        <w:tc>
          <w:tcPr>
            <w:tcW w:type="dxa" w:w="10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color w:val="856404"/>
                <w:sz w:val="16"/>
                <w:szCs w:val="16"/>
              </w:rPr>
              <w:t xml:space="preserve">In Progress</w:t>
            </w:r>
          </w:p>
        </w:tc>
      </w:tr>
      <w:tr>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TD-002</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No automated rollback on DID port failure</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Scope cut W1</w:t>
            </w:r>
          </w:p>
        </w:tc>
        <w:tc>
          <w:tcPr>
            <w:tcW w:type="dxa" w:w="500"/>
            <w:tcBorders>
              <w:top w:val="single" w:color="CCCCCC" w:sz="1"/>
              <w:left w:val="single" w:color="CCCCCC" w:sz="1"/>
              <w:bottom w:val="single" w:color="CCCCCC" w:sz="1"/>
              <w:right w:val="single" w:color="CCCCCC" w:sz="1"/>
            </w:tcBorders>
            <w:shd w:fill="A32D2D" w:val="clear"/>
            <w:tcMar>
              <w:top w:type="dxa" w:w="60"/>
              <w:left w:type="dxa" w:w="100"/>
              <w:bottom w:type="dxa" w:w="60"/>
              <w:right w:type="dxa" w:w="100"/>
            </w:tcMar>
          </w:tcPr>
          <w:p>
            <w:r>
              <w:rPr>
                <w:rFonts w:ascii="Arial" w:cs="Arial" w:eastAsia="Arial" w:hAnsi="Arial"/>
                <w:b/>
                <w:bCs/>
                <w:color w:val="FFFFFF"/>
                <w:sz w:val="16"/>
                <w:szCs w:val="16"/>
              </w:rPr>
              <w:t xml:space="preserve">P1</w:t>
            </w:r>
          </w:p>
        </w:tc>
        <w:tc>
          <w:tcPr>
            <w:tcW w:type="dxa" w:w="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1</w:t>
            </w:r>
          </w:p>
        </w:tc>
        <w:tc>
          <w:tcPr>
            <w:tcW w:type="dxa" w:w="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5</w:t>
            </w:r>
          </w:p>
        </w:tc>
        <w:tc>
          <w:tcPr>
            <w:tcW w:type="dxa" w:w="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3</w:t>
            </w:r>
          </w:p>
        </w:tc>
        <w:tc>
          <w:tcPr>
            <w:tcW w:type="dxa" w:w="700"/>
            <w:tcBorders>
              <w:top w:val="single" w:color="CCCCCC" w:sz="1"/>
              <w:left w:val="single" w:color="CCCCCC" w:sz="1"/>
              <w:bottom w:val="single" w:color="CCCCCC" w:sz="1"/>
              <w:right w:val="single" w:color="CCCCCC" w:sz="1"/>
            </w:tcBorders>
            <w:shd w:fill="A32D2D" w:val="clear"/>
            <w:tcMar>
              <w:top w:type="dxa" w:w="60"/>
              <w:left w:type="dxa" w:w="100"/>
              <w:bottom w:type="dxa" w:w="60"/>
              <w:right w:type="dxa" w:w="100"/>
            </w:tcMar>
          </w:tcPr>
          <w:p>
            <w:r>
              <w:rPr>
                <w:rFonts w:ascii="Arial" w:cs="Arial" w:eastAsia="Arial" w:hAnsi="Arial"/>
                <w:b/>
                <w:bCs/>
                <w:color w:val="FFFFFF"/>
                <w:sz w:val="16"/>
                <w:szCs w:val="16"/>
              </w:rPr>
              <w:t xml:space="preserve">11</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S16</w:t>
            </w:r>
          </w:p>
        </w:tc>
        <w:tc>
          <w:tcPr>
            <w:tcW w:type="dxa" w:w="106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0C447C"/>
                <w:sz w:val="16"/>
                <w:szCs w:val="16"/>
              </w:rPr>
              <w:t xml:space="preserve">Planned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TD-003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Terraform state in local backend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Prototype left</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P1</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2</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5</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1</w:t>
            </w:r>
          </w:p>
        </w:tc>
        <w:tc>
          <w:tcPr>
            <w:tcW w:type="dxa" w:w="700"/>
            <w:tcBorders>
              <w:top w:val="single" w:color="CCCCCC" w:sz="1"/>
              <w:left w:val="single" w:color="CCCCCC" w:sz="1"/>
              <w:bottom w:val="single" w:color="CCCCCC" w:sz="1"/>
              <w:right w:val="single" w:color="CCCCCC" w:sz="1"/>
            </w:tcBorders>
            <w:shd w:fill="A32D2D" w:val="clear"/>
            <w:tcMar>
              <w:top w:type="dxa" w:w="60"/>
              <w:left w:type="dxa" w:w="100"/>
              <w:bottom w:type="dxa" w:w="60"/>
              <w:right w:type="dxa" w:w="100"/>
            </w:tcMar>
          </w:tcPr>
          <w:p>
            <w:r>
              <w:rPr>
                <w:rFonts w:ascii="Arial" w:cs="Arial" w:eastAsia="Arial" w:hAnsi="Arial"/>
                <w:b/>
                <w:bCs/>
                <w:color w:val="FFFFFF"/>
                <w:sz w:val="16"/>
                <w:szCs w:val="16"/>
              </w:rPr>
              <w:t xml:space="preserve">13</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S15</w:t>
            </w:r>
          </w:p>
        </w:tc>
        <w:tc>
          <w:tcPr>
            <w:tcW w:type="dxa" w:w="10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color w:val="856404"/>
                <w:sz w:val="16"/>
                <w:szCs w:val="16"/>
              </w:rPr>
              <w:t xml:space="preserve">In Progress</w:t>
            </w:r>
          </w:p>
        </w:tc>
      </w:tr>
      <w:tr>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TD-004</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IVR flows not version-controlled</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AWS Connect limit</w:t>
            </w:r>
          </w:p>
        </w:tc>
        <w:tc>
          <w:tcPr>
            <w:tcW w:type="dxa" w:w="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P2</w:t>
            </w:r>
          </w:p>
        </w:tc>
        <w:tc>
          <w:tcPr>
            <w:tcW w:type="dxa" w:w="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2</w:t>
            </w:r>
          </w:p>
        </w:tc>
        <w:tc>
          <w:tcPr>
            <w:tcW w:type="dxa" w:w="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4</w:t>
            </w:r>
          </w:p>
        </w:tc>
        <w:tc>
          <w:tcPr>
            <w:tcW w:type="dxa" w:w="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5</w:t>
            </w:r>
          </w:p>
        </w:tc>
        <w:tc>
          <w:tcPr>
            <w:tcW w:type="dxa" w:w="7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color w:val="856404"/>
                <w:sz w:val="16"/>
                <w:szCs w:val="16"/>
              </w:rPr>
              <w:t xml:space="preserve">7</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Q1 2025</w:t>
            </w:r>
          </w:p>
        </w:tc>
        <w:tc>
          <w:tcPr>
            <w:tcW w:type="dxa" w:w="10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6C757D"/>
                <w:sz w:val="16"/>
                <w:szCs w:val="16"/>
              </w:rPr>
              <w:t xml:space="preserve">Backlog</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TD-005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No integration tests for Lambdas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Time pressure W1</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P2</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1</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3</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3</w:t>
            </w:r>
          </w:p>
        </w:tc>
        <w:tc>
          <w:tcPr>
            <w:tcW w:type="dxa" w:w="7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color w:val="856404"/>
                <w:sz w:val="16"/>
                <w:szCs w:val="16"/>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S17</w:t>
            </w:r>
          </w:p>
        </w:tc>
        <w:tc>
          <w:tcPr>
            <w:tcW w:type="dxa" w:w="106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0C447C"/>
                <w:sz w:val="16"/>
                <w:szCs w:val="16"/>
              </w:rPr>
              <w:t xml:space="preserve">Planned</w:t>
            </w:r>
          </w:p>
        </w:tc>
      </w:tr>
      <w:tr>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TD-006</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CloudWatch alarms not standardized</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Incremental adds</w:t>
            </w:r>
          </w:p>
        </w:tc>
        <w:tc>
          <w:tcPr>
            <w:tcW w:type="dxa" w:w="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P2</w:t>
            </w:r>
          </w:p>
        </w:tc>
        <w:tc>
          <w:tcPr>
            <w:tcW w:type="dxa" w:w="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1</w:t>
            </w:r>
          </w:p>
        </w:tc>
        <w:tc>
          <w:tcPr>
            <w:tcW w:type="dxa" w:w="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3</w:t>
            </w:r>
          </w:p>
        </w:tc>
        <w:tc>
          <w:tcPr>
            <w:tcW w:type="dxa" w:w="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2</w:t>
            </w:r>
          </w:p>
        </w:tc>
        <w:tc>
          <w:tcPr>
            <w:tcW w:type="dxa" w:w="7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color w:val="856404"/>
                <w:sz w:val="16"/>
                <w:szCs w:val="16"/>
              </w:rPr>
              <w:t xml:space="preserve">6</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S18</w:t>
            </w:r>
          </w:p>
        </w:tc>
        <w:tc>
          <w:tcPr>
            <w:tcW w:type="dxa" w:w="10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6C757D"/>
                <w:sz w:val="16"/>
                <w:szCs w:val="16"/>
              </w:rPr>
              <w:t xml:space="preserve">Backlog</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TD-007</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Real-time CNAM deferred — CSV only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Trade-off DR-005</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P2</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1</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4</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5</w:t>
            </w:r>
          </w:p>
        </w:tc>
        <w:tc>
          <w:tcPr>
            <w:tcW w:type="dxa" w:w="7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color w:val="856404"/>
                <w:sz w:val="16"/>
                <w:szCs w:val="16"/>
              </w:rPr>
              <w:t xml:space="preserve">7</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Q1 2025</w:t>
            </w:r>
          </w:p>
        </w:tc>
        <w:tc>
          <w:tcPr>
            <w:tcW w:type="dxa" w:w="10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6C757D"/>
                <w:sz w:val="16"/>
                <w:szCs w:val="16"/>
              </w:rPr>
              <w:t xml:space="preserve">Backlog</w:t>
            </w:r>
          </w:p>
        </w:tc>
      </w:tr>
      <w:tr>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TD-008</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DynamoDB on-demand only — no capacity plan</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Not modeled W1</w:t>
            </w:r>
          </w:p>
        </w:tc>
        <w:tc>
          <w:tcPr>
            <w:tcW w:type="dxa" w:w="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P2</w:t>
            </w:r>
          </w:p>
        </w:tc>
        <w:tc>
          <w:tcPr>
            <w:tcW w:type="dxa" w:w="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1</w:t>
            </w:r>
          </w:p>
        </w:tc>
        <w:tc>
          <w:tcPr>
            <w:tcW w:type="dxa" w:w="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2</w:t>
            </w:r>
          </w:p>
        </w:tc>
        <w:tc>
          <w:tcPr>
            <w:tcW w:type="dxa" w:w="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2</w:t>
            </w:r>
          </w:p>
        </w:tc>
        <w:tc>
          <w:tcPr>
            <w:tcW w:type="dxa" w:w="700"/>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r>
              <w:rPr>
                <w:rFonts w:ascii="Arial" w:cs="Arial" w:eastAsia="Arial" w:hAnsi="Arial"/>
                <w:b/>
                <w:bCs/>
                <w:color w:val="0C447C"/>
                <w:sz w:val="16"/>
                <w:szCs w:val="16"/>
              </w:rPr>
              <w:t xml:space="preserve">4</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S19</w:t>
            </w:r>
          </w:p>
        </w:tc>
        <w:tc>
          <w:tcPr>
            <w:tcW w:type="dxa" w:w="10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color w:val="6C757D"/>
                <w:sz w:val="16"/>
                <w:szCs w:val="16"/>
              </w:rPr>
              <w:t xml:space="preserve">Backlog</w:t>
            </w:r>
          </w:p>
        </w:tc>
      </w:tr>
    </w:tbl>
    <w:p>
      <w:pPr>
        <w:spacing w:after="100"/>
      </w:pPr>
      <w:r>
        <w:t xml:space="preserve"/>
      </w:r>
    </w:p>
    <w:p>
      <w:pPr>
        <w:spacing w:after="100"/>
      </w:pPr>
      <w:r>
        <w:rPr>
          <w:rFonts w:ascii="Arial" w:cs="Arial" w:eastAsia="Arial" w:hAnsi="Arial"/>
          <w:i/>
          <w:iCs/>
          <w:color w:val="6C757D"/>
          <w:sz w:val="20"/>
          <w:szCs w:val="20"/>
        </w:rPr>
        <w:t xml:space="preserve">Sec = Security Risk (1-5)  ·  Del = Delivery Risk (1-5)  ·  Eff = Effort (1-5)  ·  Score = (Sec×2)+(Del×2)−Eff</w:t>
      </w:r>
    </w:p>
    <w:p>
      <w:pPr>
        <w:spacing w:after="100"/>
      </w:pPr>
      <w:r>
        <w:t xml:space="preserve"/>
      </w:r>
    </w:p>
    <w:p>
      <w:r>
        <w:br w:type="page"/>
      </w:r>
    </w:p>
    <w:p>
      <w:pPr>
        <w:pStyle w:val="Heading1"/>
        <w:pBdr>
          <w:bottom w:val="single" w:color="2E5DA6" w:sz="4" w:space="4"/>
        </w:pBdr>
        <w:spacing w:after="120" w:before="360"/>
      </w:pPr>
      <w:r>
        <w:rPr>
          <w:rFonts w:ascii="Arial" w:cs="Arial" w:eastAsia="Arial" w:hAnsi="Arial"/>
          <w:b/>
          <w:bCs/>
          <w:color w:val="1B2A4A"/>
          <w:sz w:val="28"/>
          <w:szCs w:val="28"/>
        </w:rPr>
        <w:t xml:space="preserve">6.3  P1 Debt Detail</w:t>
      </w:r>
    </w:p>
    <w:p>
      <w:pPr>
        <w:shd w:fill="A32D2D" w:val="clear"/>
        <w:spacing w:after="0" w:before="200"/>
      </w:pPr>
      <w:r>
        <w:rPr>
          <w:rFonts w:ascii="Arial" w:cs="Arial" w:eastAsia="Arial" w:hAnsi="Arial"/>
          <w:b/>
          <w:bCs/>
          <w:color w:val="FFFFFF"/>
          <w:sz w:val="20"/>
          <w:szCs w:val="20"/>
        </w:rPr>
        <w:t xml:space="preserve">  TD-001 — Hardcoded SIP Credentials in Lambda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A32D2D" w:val="clear"/>
            <w:tcMar>
              <w:top w:type="dxa" w:w="80"/>
              <w:left w:type="dxa" w:w="100"/>
              <w:bottom w:type="dxa" w:w="80"/>
              <w:right w:type="dxa" w:w="100"/>
            </w:tcMar>
          </w:tcPr>
          <w:p>
            <w:r>
              <w:rPr>
                <w:rFonts w:ascii="Arial" w:cs="Arial" w:eastAsia="Arial" w:hAnsi="Arial"/>
                <w:b/>
                <w:bCs/>
                <w:color w:val="FFFFFF"/>
                <w:sz w:val="16"/>
                <w:szCs w:val="16"/>
              </w:rPr>
              <w:t xml:space="preserve">Field</w:t>
            </w:r>
          </w:p>
        </w:tc>
        <w:tc>
          <w:tcPr>
            <w:tcW w:type="dxa" w:w="7360"/>
            <w:tcBorders>
              <w:top w:val="single" w:color="CCCCCC" w:sz="1"/>
              <w:left w:val="single" w:color="CCCCCC" w:sz="1"/>
              <w:bottom w:val="single" w:color="CCCCCC" w:sz="1"/>
              <w:right w:val="single" w:color="CCCCCC" w:sz="1"/>
            </w:tcBorders>
            <w:shd w:fill="A32D2D" w:val="clear"/>
            <w:tcMar>
              <w:top w:type="dxa" w:w="80"/>
              <w:left w:type="dxa" w:w="100"/>
              <w:bottom w:type="dxa" w:w="80"/>
              <w:right w:type="dxa" w:w="100"/>
            </w:tcMar>
          </w:tcPr>
          <w:p>
            <w:r>
              <w:rPr>
                <w:rFonts w:ascii="Arial" w:cs="Arial" w:eastAsia="Arial" w:hAnsi="Arial"/>
                <w:b/>
                <w:bCs/>
                <w:color w:val="FFFFFF"/>
                <w:sz w:val="16"/>
                <w:szCs w:val="16"/>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What it is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Three Lambda functions have SIP trunk credentials stored as plaintext environment variables. Anyone with Lambda read access can retrieve live carrier credentials.</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Why it happened</w:t>
            </w:r>
          </w:p>
        </w:tc>
        <w:tc>
          <w:tcPr>
            <w:tcW w:type="dxa" w:w="7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Wave 1 deadline pressure. Secrets Manager integration was descoped as a post-go-live fix. Never formally logged until Wave 1 retrospect.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Business impact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SOC 2 Type II finding. If unresolved before Q1 2025 audit, appears as open finding and could affect certification renewal. Financial exposure from credential theft.</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Fix</w:t>
            </w:r>
          </w:p>
        </w:tc>
        <w:tc>
          <w:tcPr>
            <w:tcW w:type="dxa" w:w="7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Migrate all three Lambdas to retrieve credentials from AWS Secrets Manager at runtime. Scope IAM policies to restrict access to Lambda execution roles only.</w:t>
            </w:r>
          </w:p>
        </w:tc>
      </w:tr>
      <w:tr>
        <w:tc>
          <w:tcPr>
            <w:tcW w:type="dxa" w:w="2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color w:val="856404"/>
                <w:sz w:val="16"/>
                <w:szCs w:val="16"/>
              </w:rPr>
              <w:t xml:space="preserve">Sprint target</w:t>
            </w:r>
          </w:p>
        </w:tc>
        <w:tc>
          <w:tcPr>
            <w:tcW w:type="dxa" w:w="73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val="false"/>
                <w:bCs w:val="false"/>
                <w:color w:val="856404"/>
                <w:sz w:val="16"/>
                <w:szCs w:val="16"/>
              </w:rPr>
              <w:t xml:space="preserve">Sprint 15 · Owner: Priya N. · Estimate: 3 days</w:t>
            </w:r>
          </w:p>
        </w:tc>
      </w:tr>
    </w:tbl>
    <w:p>
      <w:pPr>
        <w:spacing w:after="100"/>
      </w:pPr>
      <w:r>
        <w:t xml:space="preserve"/>
      </w:r>
    </w:p>
    <w:p>
      <w:pPr>
        <w:shd w:fill="A32D2D" w:val="clear"/>
        <w:spacing w:after="0" w:before="200"/>
      </w:pPr>
      <w:r>
        <w:rPr>
          <w:rFonts w:ascii="Arial" w:cs="Arial" w:eastAsia="Arial" w:hAnsi="Arial"/>
          <w:b/>
          <w:bCs/>
          <w:color w:val="FFFFFF"/>
          <w:sz w:val="20"/>
          <w:szCs w:val="20"/>
        </w:rPr>
        <w:t xml:space="preserve">  TD-002 — No Automated Rollback on DID Porting Failure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A32D2D" w:val="clear"/>
            <w:tcMar>
              <w:top w:type="dxa" w:w="80"/>
              <w:left w:type="dxa" w:w="100"/>
              <w:bottom w:type="dxa" w:w="80"/>
              <w:right w:type="dxa" w:w="100"/>
            </w:tcMar>
          </w:tcPr>
          <w:p>
            <w:r>
              <w:rPr>
                <w:rFonts w:ascii="Arial" w:cs="Arial" w:eastAsia="Arial" w:hAnsi="Arial"/>
                <w:b/>
                <w:bCs/>
                <w:color w:val="FFFFFF"/>
                <w:sz w:val="16"/>
                <w:szCs w:val="16"/>
              </w:rPr>
              <w:t xml:space="preserve">Field</w:t>
            </w:r>
          </w:p>
        </w:tc>
        <w:tc>
          <w:tcPr>
            <w:tcW w:type="dxa" w:w="7360"/>
            <w:tcBorders>
              <w:top w:val="single" w:color="CCCCCC" w:sz="1"/>
              <w:left w:val="single" w:color="CCCCCC" w:sz="1"/>
              <w:bottom w:val="single" w:color="CCCCCC" w:sz="1"/>
              <w:right w:val="single" w:color="CCCCCC" w:sz="1"/>
            </w:tcBorders>
            <w:shd w:fill="A32D2D" w:val="clear"/>
            <w:tcMar>
              <w:top w:type="dxa" w:w="80"/>
              <w:left w:type="dxa" w:w="100"/>
              <w:bottom w:type="dxa" w:w="80"/>
              <w:right w:type="dxa" w:w="100"/>
            </w:tcMar>
          </w:tcPr>
          <w:p>
            <w:r>
              <w:rPr>
                <w:rFonts w:ascii="Arial" w:cs="Arial" w:eastAsia="Arial" w:hAnsi="Arial"/>
                <w:b/>
                <w:bCs/>
                <w:color w:val="FFFFFF"/>
                <w:sz w:val="16"/>
                <w:szCs w:val="16"/>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What it is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When a DID port fails mid-process, there is no automated recovery. Manual intervention takes 45 min to 4 hours depending on failure type.</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Why it happened</w:t>
            </w:r>
          </w:p>
        </w:tc>
        <w:tc>
          <w:tcPr>
            <w:tcW w:type="dxa" w:w="7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Automated rollback was in Wave 1 scope. Descoped in Sprint 6 due to velocity shortfall. Formally logged at Sprint 6 retrospect.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Business impact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During Wave 2 (2,358 DIDs), a batch failure could leave 50-100 numbers in indeterminate state, creating a multi-hour customer impact window.</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Fix</w:t>
            </w:r>
          </w:p>
        </w:tc>
        <w:tc>
          <w:tcPr>
            <w:tcW w:type="dxa" w:w="7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Lambda-based rollback function monitoring porting webhook events. DynamoDB state machine tracking port status and recovery actions.</w:t>
            </w:r>
          </w:p>
        </w:tc>
      </w:tr>
      <w:tr>
        <w:tc>
          <w:tcPr>
            <w:tcW w:type="dxa" w:w="2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color w:val="856404"/>
                <w:sz w:val="16"/>
                <w:szCs w:val="16"/>
              </w:rPr>
              <w:t xml:space="preserve">Sprint target</w:t>
            </w:r>
          </w:p>
        </w:tc>
        <w:tc>
          <w:tcPr>
            <w:tcW w:type="dxa" w:w="73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val="false"/>
                <w:bCs w:val="false"/>
                <w:color w:val="856404"/>
                <w:sz w:val="16"/>
                <w:szCs w:val="16"/>
              </w:rPr>
              <w:t xml:space="preserve">Sprint 16 · Owner: Priya N. + James W. · Estimate: 5 days</w:t>
            </w:r>
          </w:p>
        </w:tc>
      </w:tr>
    </w:tbl>
    <w:p>
      <w:pPr>
        <w:spacing w:after="100"/>
      </w:pPr>
      <w:r>
        <w:t xml:space="preserve"/>
      </w:r>
    </w:p>
    <w:p>
      <w:pPr>
        <w:shd w:fill="A32D2D" w:val="clear"/>
        <w:spacing w:after="0" w:before="200"/>
      </w:pPr>
      <w:r>
        <w:rPr>
          <w:rFonts w:ascii="Arial" w:cs="Arial" w:eastAsia="Arial" w:hAnsi="Arial"/>
          <w:b/>
          <w:bCs/>
          <w:color w:val="FFFFFF"/>
          <w:sz w:val="20"/>
          <w:szCs w:val="20"/>
        </w:rPr>
        <w:t xml:space="preserve">  TD-003 — Terraform State in Local Backend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A32D2D" w:val="clear"/>
            <w:tcMar>
              <w:top w:type="dxa" w:w="80"/>
              <w:left w:type="dxa" w:w="100"/>
              <w:bottom w:type="dxa" w:w="80"/>
              <w:right w:type="dxa" w:w="100"/>
            </w:tcMar>
          </w:tcPr>
          <w:p>
            <w:r>
              <w:rPr>
                <w:rFonts w:ascii="Arial" w:cs="Arial" w:eastAsia="Arial" w:hAnsi="Arial"/>
                <w:b/>
                <w:bCs/>
                <w:color w:val="FFFFFF"/>
                <w:sz w:val="16"/>
                <w:szCs w:val="16"/>
              </w:rPr>
              <w:t xml:space="preserve">Field</w:t>
            </w:r>
          </w:p>
        </w:tc>
        <w:tc>
          <w:tcPr>
            <w:tcW w:type="dxa" w:w="7360"/>
            <w:tcBorders>
              <w:top w:val="single" w:color="CCCCCC" w:sz="1"/>
              <w:left w:val="single" w:color="CCCCCC" w:sz="1"/>
              <w:bottom w:val="single" w:color="CCCCCC" w:sz="1"/>
              <w:right w:val="single" w:color="CCCCCC" w:sz="1"/>
            </w:tcBorders>
            <w:shd w:fill="A32D2D" w:val="clear"/>
            <w:tcMar>
              <w:top w:type="dxa" w:w="80"/>
              <w:left w:type="dxa" w:w="100"/>
              <w:bottom w:type="dxa" w:w="80"/>
              <w:right w:type="dxa" w:w="100"/>
            </w:tcMar>
          </w:tcPr>
          <w:p>
            <w:r>
              <w:rPr>
                <w:rFonts w:ascii="Arial" w:cs="Arial" w:eastAsia="Arial" w:hAnsi="Arial"/>
                <w:b/>
                <w:bCs/>
                <w:color w:val="FFFFFF"/>
                <w:sz w:val="16"/>
                <w:szCs w:val="16"/>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What it is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All AWS Connect infrastructure state is on Priya Nair's local machine. No remote backend, no locking, no team access. Another engineer running terraform apply would corrupt the state.</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Why it happened</w:t>
            </w:r>
          </w:p>
        </w:tc>
        <w:tc>
          <w:tcPr>
            <w:tcW w:type="dxa" w:w="7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Infrastructure prototype became production without state migration. No formal handoff or review occurred before Wave 1 go-live.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Business impact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If Priya is unavailable (illness or departure — see R-006), no one else can safely modify infrastructure. Blocks CI/CD pipeline IaC validation.</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Fix</w:t>
            </w:r>
          </w:p>
        </w:tc>
        <w:tc>
          <w:tcPr>
            <w:tcW w:type="dxa" w:w="7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Migrate to S3 remote backend with DynamoDB locking. See ADR-003 for full design. Highest ROI item on the board.</w:t>
            </w:r>
          </w:p>
        </w:tc>
      </w:tr>
      <w:tr>
        <w:tc>
          <w:tcPr>
            <w:tcW w:type="dxa" w:w="20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color w:val="856404"/>
                <w:sz w:val="16"/>
                <w:szCs w:val="16"/>
              </w:rPr>
              <w:t xml:space="preserve">Sprint target</w:t>
            </w:r>
          </w:p>
        </w:tc>
        <w:tc>
          <w:tcPr>
            <w:tcW w:type="dxa" w:w="73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val="false"/>
                <w:bCs w:val="false"/>
                <w:color w:val="856404"/>
                <w:sz w:val="16"/>
                <w:szCs w:val="16"/>
              </w:rPr>
              <w:t xml:space="preserve">Sprint 15 · Owner: Priya N. · Estimate: 2 days</w:t>
            </w:r>
          </w:p>
        </w:tc>
      </w:tr>
    </w:tbl>
    <w:p>
      <w:pPr>
        <w:spacing w:after="100"/>
      </w:pPr>
      <w:r>
        <w:t xml:space="preserve"/>
      </w:r>
    </w:p>
    <w:p>
      <w:pPr>
        <w:pStyle w:val="Heading1"/>
        <w:pBdr>
          <w:bottom w:val="single" w:color="2E5DA6" w:sz="4" w:space="4"/>
        </w:pBdr>
        <w:spacing w:after="120" w:before="360"/>
      </w:pPr>
      <w:r>
        <w:rPr>
          <w:rFonts w:ascii="Arial" w:cs="Arial" w:eastAsia="Arial" w:hAnsi="Arial"/>
          <w:b/>
          <w:bCs/>
          <w:color w:val="1B2A4A"/>
          <w:sz w:val="28"/>
          <w:szCs w:val="28"/>
        </w:rPr>
        <w:t xml:space="preserve">6.4  Debt Trend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200"/>
        <w:gridCol w:w="43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6"/>
                <w:szCs w:val="16"/>
              </w:rPr>
              <w:t xml:space="preserve">Sprint</w:t>
            </w:r>
          </w:p>
        </w:tc>
        <w:tc>
          <w:tcPr>
            <w:tcW w:type="dxa" w:w="12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6"/>
                <w:szCs w:val="16"/>
              </w:rPr>
              <w:t xml:space="preserve">P1 Open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6"/>
                <w:szCs w:val="16"/>
              </w:rPr>
              <w:t xml:space="preserve">P2 Open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6"/>
                <w:szCs w:val="16"/>
              </w:rPr>
              <w:t xml:space="preserve">Resolved</w:t>
            </w:r>
          </w:p>
        </w:tc>
        <w:tc>
          <w:tcPr>
            <w:tcW w:type="dxa" w:w="436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6"/>
                <w:szCs w:val="16"/>
              </w:rPr>
              <w:t xml:space="preserve">Notes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Sprint 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1</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TD-010 resolved</w:t>
            </w:r>
          </w:p>
        </w:tc>
      </w:tr>
      <w:tr>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Sprint 11</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3</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6</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1</w:t>
            </w:r>
          </w:p>
        </w:tc>
        <w:tc>
          <w:tcPr>
            <w:tcW w:type="dxa" w:w="4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TD-008 partial</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Sprint 12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2</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000000"/>
                <w:sz w:val="16"/>
                <w:szCs w:val="16"/>
              </w:rPr>
              <w:t xml:space="preserve">TD-005, TD-006 partial</w:t>
            </w:r>
          </w:p>
        </w:tc>
      </w:tr>
      <w:tr>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Sprint 13</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3</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5</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000000"/>
                <w:sz w:val="16"/>
                <w:szCs w:val="16"/>
              </w:rPr>
              <w:t xml:space="preserve">0</w:t>
            </w:r>
          </w:p>
        </w:tc>
        <w:tc>
          <w:tcPr>
            <w:tcW w:type="dxa" w:w="43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val="false"/>
                <w:bCs w:val="false"/>
                <w:color w:val="856404"/>
                <w:sz w:val="16"/>
                <w:szCs w:val="16"/>
              </w:rPr>
              <w:t xml:space="preserve">Wave 2 pressure — debt paused</w:t>
            </w:r>
          </w:p>
        </w:tc>
      </w:tr>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6"/>
                <w:szCs w:val="16"/>
              </w:rPr>
              <w:t xml:space="preserve">Sprint 14</w:t>
            </w:r>
          </w:p>
        </w:tc>
        <w:tc>
          <w:tcPr>
            <w:tcW w:type="dxa" w:w="1200"/>
            <w:tcBorders>
              <w:top w:val="single" w:color="CCCCCC" w:sz="1"/>
              <w:left w:val="single" w:color="CCCCCC" w:sz="1"/>
              <w:bottom w:val="single" w:color="CCCCCC" w:sz="1"/>
              <w:right w:val="single" w:color="CCCCCC" w:sz="1"/>
            </w:tcBorders>
            <w:shd w:fill="A32D2D" w:val="clear"/>
            <w:tcMar>
              <w:top w:type="dxa" w:w="60"/>
              <w:left w:type="dxa" w:w="100"/>
              <w:bottom w:type="dxa" w:w="60"/>
              <w:right w:type="dxa" w:w="100"/>
            </w:tcMar>
          </w:tcPr>
          <w:p>
            <w:r>
              <w:rPr>
                <w:rFonts w:ascii="Arial" w:cs="Arial" w:eastAsia="Arial" w:hAnsi="Arial"/>
                <w:b/>
                <w:bCs/>
                <w:color w:val="FFFFFF"/>
                <w:sz w:val="16"/>
                <w:szCs w:val="16"/>
              </w:rPr>
              <w:t xml:space="preserve">3</w:t>
            </w:r>
          </w:p>
        </w:tc>
        <w:tc>
          <w:tcPr>
            <w:tcW w:type="dxa" w:w="1200"/>
            <w:tcBorders>
              <w:top w:val="single" w:color="CCCCCC" w:sz="1"/>
              <w:left w:val="single" w:color="CCCCCC" w:sz="1"/>
              <w:bottom w:val="single" w:color="CCCCCC" w:sz="1"/>
              <w:right w:val="single" w:color="CCCCCC" w:sz="1"/>
            </w:tcBorders>
            <w:shd w:fill="854F0B" w:val="clear"/>
            <w:tcMar>
              <w:top w:type="dxa" w:w="60"/>
              <w:left w:type="dxa" w:w="100"/>
              <w:bottom w:type="dxa" w:w="60"/>
              <w:right w:type="dxa" w:w="100"/>
            </w:tcMar>
          </w:tcPr>
          <w:p>
            <w:r>
              <w:rPr>
                <w:rFonts w:ascii="Arial" w:cs="Arial" w:eastAsia="Arial" w:hAnsi="Arial"/>
                <w:b/>
                <w:bCs/>
                <w:color w:val="FFFFFF"/>
                <w:sz w:val="16"/>
                <w:szCs w:val="16"/>
              </w:rPr>
              <w:t xml:space="preserve">5</w:t>
            </w:r>
          </w:p>
        </w:tc>
        <w:tc>
          <w:tcPr>
            <w:tcW w:type="dxa" w:w="1200"/>
            <w:tcBorders>
              <w:top w:val="single" w:color="CCCCCC" w:sz="1"/>
              <w:left w:val="single" w:color="CCCCCC" w:sz="1"/>
              <w:bottom w:val="single" w:color="CCCCCC" w:sz="1"/>
              <w:right w:val="single" w:color="CCCCCC" w:sz="1"/>
            </w:tcBorders>
            <w:shd w:fill="A32D2D" w:val="clear"/>
            <w:tcMar>
              <w:top w:type="dxa" w:w="60"/>
              <w:left w:type="dxa" w:w="100"/>
              <w:bottom w:type="dxa" w:w="60"/>
              <w:right w:type="dxa" w:w="100"/>
            </w:tcMar>
          </w:tcPr>
          <w:p>
            <w:r>
              <w:rPr>
                <w:rFonts w:ascii="Arial" w:cs="Arial" w:eastAsia="Arial" w:hAnsi="Arial"/>
                <w:b/>
                <w:bCs/>
                <w:color w:val="FFFFFF"/>
                <w:sz w:val="16"/>
                <w:szCs w:val="16"/>
              </w:rPr>
              <w:t xml:space="preserve">0</w:t>
            </w:r>
          </w:p>
        </w:tc>
        <w:tc>
          <w:tcPr>
            <w:tcW w:type="dxa" w:w="43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val="false"/>
                <w:bCs w:val="false"/>
                <w:color w:val="856404"/>
                <w:sz w:val="16"/>
                <w:szCs w:val="16"/>
              </w:rPr>
              <w:t xml:space="preserve">Sprint 15: 43% velocity reserved for debt</w:t>
            </w:r>
          </w:p>
        </w:tc>
      </w:tr>
    </w:tbl>
    <w:p>
      <w:pPr>
        <w:spacing w:after="100"/>
      </w:pPr>
      <w:r>
        <w:t xml:space="preserve"/>
      </w:r>
    </w:p>
    <w:p>
      <w:pPr>
        <w:spacing w:after="100"/>
      </w:pPr>
      <w:r>
        <w:rPr>
          <w:rFonts w:ascii="Arial" w:cs="Arial" w:eastAsia="Arial" w:hAnsi="Arial"/>
          <w:i/>
          <w:iCs/>
          <w:color w:val="6C757D"/>
          <w:sz w:val="20"/>
          <w:szCs w:val="20"/>
        </w:rPr>
        <w:t xml:space="preserve">Zero debt resolved in Sprints 13-14 due to Wave 2 carrier delay consuming team capacity. Sprint 15 ring-fenced: 18 of 42 points (43%) for TD-001 and TD-003. Communicated to product in advance.</w:t>
      </w:r>
    </w:p>
    <w:p>
      <w:pPr>
        <w:spacing w:after="100"/>
      </w:pPr>
      <w:r>
        <w:t xml:space="preserve"/>
      </w:r>
    </w:p>
    <w:p>
      <w:pPr>
        <w:spacing w:after="100"/>
      </w:pPr>
      <w:r>
        <w:t xml:space="preserve"/>
      </w:r>
    </w:p>
    <w:p>
      <w:pPr>
        <w:pBdr>
          <w:top w:val="single" w:color="2E5DA6" w:sz="2" w:space="6"/>
        </w:pBdr>
        <w:spacing w:before="480"/>
      </w:pPr>
      <w:r>
        <w:rPr>
          <w:rFonts w:ascii="Arial" w:cs="Arial" w:eastAsia="Arial" w:hAnsi="Arial"/>
          <w:color w:val="6C757D"/>
          <w:sz w:val="18"/>
          <w:szCs w:val="18"/>
        </w:rPr>
        <w:t xml:space="preserve">Next section: </w:t>
      </w:r>
      <w:r>
        <w:rPr>
          <w:rFonts w:ascii="Arial" w:cs="Arial" w:eastAsia="Arial" w:hAnsi="Arial"/>
          <w:b/>
          <w:bCs/>
          <w:color w:val="2E5DA6"/>
          <w:sz w:val="18"/>
          <w:szCs w:val="18"/>
        </w:rPr>
        <w:t xml:space="preserve">Scope Creep Control →  program-management/scope-change-log.md</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rFonts w:ascii="Arial" w:cs="Arial" w:eastAsia="Arial" w:hAnsi="Arial"/>
        <w:color w:val="6C757D"/>
        <w:sz w:val="16"/>
        <w:szCs w:val="16"/>
      </w:rPr>
      <w:t xml:space="preserve">Technical Debt Register v2.1  ·  Sprint 14  ·  Owner: Priya Nair / TPM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DA6" w:sz="2" w:space="4"/>
      </w:pBdr>
    </w:pPr>
    <w:r>
      <w:rPr>
        <w:rFonts w:ascii="Arial" w:cs="Arial" w:eastAsia="Arial" w:hAnsi="Arial"/>
        <w:color w:val="6C757D"/>
        <w:sz w:val="16"/>
        <w:szCs w:val="16"/>
      </w:rPr>
      <w:t xml:space="preserve">PROJECT NORTH STAR  ·  Technical Debt Strategy  ·  Section 6 of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5DA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2026-04-06T23:11:16.783Z</dcterms:created>
  <dcterms:modified xsi:type="dcterms:W3CDTF">2026-04-06T23:11:16.784Z</dcterms:modified>
</cp:coreProperties>
</file>

<file path=docProps/custom.xml><?xml version="1.0" encoding="utf-8"?>
<Properties xmlns="http://schemas.openxmlformats.org/officeDocument/2006/custom-properties" xmlns:vt="http://schemas.openxmlformats.org/officeDocument/2006/docPropsVTypes"/>
</file>