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292965980"/>
      <w:bookmarkStart w:id="1" w:name="_Toc404341005"/>
      <w:bookmarkStart w:id="2" w:name="_Toc405816955"/>
      <w:bookmarkStart w:id="3" w:name="_Toc504140690"/>
      <w:r>
        <w:t>DWYT-18 testing cycle</w:t>
      </w:r>
      <w:bookmarkEnd w:id="3"/>
    </w:p>
    <w:p w:rsidR="00615CFA" w:rsidRDefault="00615CFA" w:rsidP="00615CFA">
      <w:pPr>
        <w:pStyle w:val="Heading2"/>
      </w:pPr>
      <w:bookmarkStart w:id="4" w:name="_Toc453596759"/>
      <w:bookmarkStart w:id="5" w:name="_Toc504140691"/>
      <w:r>
        <w:t>Revision History</w:t>
      </w:r>
      <w:bookmarkEnd w:id="0"/>
      <w:bookmarkEnd w:id="1"/>
      <w:bookmarkEnd w:id="2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7"/>
        <w:gridCol w:w="5393"/>
      </w:tblGrid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1.01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11/01/2018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Minor revisions</w:t>
            </w:r>
          </w:p>
        </w:tc>
      </w:tr>
      <w:tr w:rsidR="00376757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57" w:rsidRDefault="00376757" w:rsidP="00264F60">
            <w:r>
              <w:t>1.1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57" w:rsidRDefault="00376757" w:rsidP="00264F60">
            <w:r>
              <w:t>19/01/2018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57" w:rsidRDefault="00376757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57" w:rsidRDefault="00376757" w:rsidP="00271364">
            <w:r>
              <w:t xml:space="preserve">Revised </w:t>
            </w:r>
            <w:r w:rsidR="00271364">
              <w:t>to reflect</w:t>
            </w:r>
            <w:bookmarkStart w:id="6" w:name="_GoBack"/>
            <w:bookmarkEnd w:id="6"/>
            <w:r>
              <w:t xml:space="preserve"> increased process automation</w:t>
            </w:r>
          </w:p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AE5E74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40690" w:history="1">
            <w:r w:rsidR="00AE5E74" w:rsidRPr="00211F28">
              <w:rPr>
                <w:rStyle w:val="Hyperlink"/>
                <w:noProof/>
              </w:rPr>
              <w:t>DWYT-18 testing cycle</w:t>
            </w:r>
            <w:r w:rsidR="00AE5E74">
              <w:rPr>
                <w:noProof/>
                <w:webHidden/>
              </w:rPr>
              <w:tab/>
            </w:r>
            <w:r w:rsidR="00AE5E74">
              <w:rPr>
                <w:noProof/>
                <w:webHidden/>
              </w:rPr>
              <w:fldChar w:fldCharType="begin"/>
            </w:r>
            <w:r w:rsidR="00AE5E74">
              <w:rPr>
                <w:noProof/>
                <w:webHidden/>
              </w:rPr>
              <w:instrText xml:space="preserve"> PAGEREF _Toc504140690 \h </w:instrText>
            </w:r>
            <w:r w:rsidR="00AE5E74">
              <w:rPr>
                <w:noProof/>
                <w:webHidden/>
              </w:rPr>
            </w:r>
            <w:r w:rsidR="00AE5E74">
              <w:rPr>
                <w:noProof/>
                <w:webHidden/>
              </w:rPr>
              <w:fldChar w:fldCharType="separate"/>
            </w:r>
            <w:r w:rsidR="00AE5E74">
              <w:rPr>
                <w:noProof/>
                <w:webHidden/>
              </w:rPr>
              <w:t>1</w:t>
            </w:r>
            <w:r w:rsidR="00AE5E74"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1" w:history="1">
            <w:r w:rsidRPr="00211F28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2" w:history="1">
            <w:r w:rsidRPr="00211F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3" w:history="1">
            <w:r w:rsidRPr="00211F28">
              <w:rPr>
                <w:rStyle w:val="Hyperlink"/>
                <w:noProof/>
              </w:rPr>
              <w:t>Triton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4" w:history="1">
            <w:r w:rsidRPr="00211F28">
              <w:rPr>
                <w:rStyle w:val="Hyperlink"/>
                <w:noProof/>
              </w:rPr>
              <w:t>Neptune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5" w:history="1">
            <w:r w:rsidRPr="00211F28">
              <w:rPr>
                <w:rStyle w:val="Hyperlink"/>
                <w:noProof/>
              </w:rPr>
              <w:t>NeptuneCRM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74" w:rsidRDefault="00AE5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140696" w:history="1">
            <w:r w:rsidRPr="00211F28">
              <w:rPr>
                <w:rStyle w:val="Hyperlink"/>
                <w:noProof/>
              </w:rPr>
              <w:t>HUBSPOT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7" w:name="_Toc504140692"/>
      <w:r>
        <w:lastRenderedPageBreak/>
        <w:t>Introduction</w:t>
      </w:r>
      <w:bookmarkEnd w:id="7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>raw data feed files received from the Triton and Neptune systems through to uploading processed and staged data to the HubSpot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</w:t>
      </w:r>
    </w:p>
    <w:p w:rsidR="00960E3C" w:rsidRDefault="00960E3C" w:rsidP="00615CFA">
      <w:pPr>
        <w:pStyle w:val="Heading2"/>
      </w:pPr>
      <w:bookmarkStart w:id="8" w:name="_Toc504140693"/>
      <w:r>
        <w:t>Triton</w:t>
      </w:r>
      <w:r w:rsidR="00376757">
        <w:t xml:space="preserve"> data</w:t>
      </w:r>
      <w:bookmarkEnd w:id="8"/>
    </w:p>
    <w:p w:rsidR="00960E3C" w:rsidRDefault="005704C9" w:rsidP="00960E3C">
      <w:r>
        <w:t>Edit the DOS batch file</w:t>
      </w:r>
      <w:r w:rsidR="00376757">
        <w:t>s</w:t>
      </w:r>
      <w:r>
        <w:t xml:space="preserve"> </w:t>
      </w:r>
      <w:r w:rsidR="00376757">
        <w:t>G:\AMI_UAT\MarineCRM\Batch_files\</w:t>
      </w:r>
      <w:r w:rsidR="00376757">
        <w:t>Get</w:t>
      </w:r>
      <w:r w:rsidR="00376757">
        <w:t>_files.bat</w:t>
      </w:r>
      <w:r w:rsidR="00376757">
        <w:t xml:space="preserve">  and </w:t>
      </w:r>
      <w:r>
        <w:t>G:\AMI_</w:t>
      </w:r>
      <w:r w:rsidR="00376757">
        <w:t>UAT</w:t>
      </w:r>
      <w:r>
        <w:t xml:space="preserve">\MarineCRM\Batch_files\Rename_files.bat so that the today variable has the correct datestamp value. </w:t>
      </w:r>
    </w:p>
    <w:p w:rsidR="00960E3C" w:rsidRDefault="00960E3C" w:rsidP="00960E3C">
      <w:r>
        <w:t xml:space="preserve">In MS SQL Server Management Studio run the following </w:t>
      </w:r>
      <w:r w:rsidR="00376757">
        <w:t>jobs in turn</w:t>
      </w:r>
      <w:r>
        <w:t>:</w:t>
      </w:r>
    </w:p>
    <w:p w:rsidR="00376757" w:rsidRDefault="00376757" w:rsidP="00960E3C">
      <w:r>
        <w:t>TritonCelerity_DWYT18</w:t>
      </w:r>
    </w:p>
    <w:p w:rsidR="00960E3C" w:rsidRDefault="00376757" w:rsidP="00376757">
      <w:r>
        <w:t>TritonCelerity_ENews_DWYT18</w:t>
      </w:r>
    </w:p>
    <w:p w:rsidR="00960E3C" w:rsidRDefault="00960E3C" w:rsidP="00615CFA">
      <w:pPr>
        <w:pStyle w:val="Heading2"/>
      </w:pPr>
      <w:bookmarkStart w:id="9" w:name="_Toc504140694"/>
      <w:r>
        <w:t>Neptune</w:t>
      </w:r>
      <w:r w:rsidR="00376757">
        <w:t xml:space="preserve"> data</w:t>
      </w:r>
      <w:bookmarkEnd w:id="9"/>
    </w:p>
    <w:p w:rsidR="00376757" w:rsidRDefault="00376757" w:rsidP="00376757">
      <w:r>
        <w:t>In MS SQL Server Management Studio run the following job:</w:t>
      </w:r>
    </w:p>
    <w:p w:rsidR="00376757" w:rsidRDefault="00376757" w:rsidP="00376757">
      <w:r>
        <w:t>Marine – Import – Neptune – DWYT18</w:t>
      </w:r>
    </w:p>
    <w:p w:rsidR="00376757" w:rsidRDefault="00376757" w:rsidP="00376757">
      <w:pPr>
        <w:pStyle w:val="Heading2"/>
      </w:pPr>
      <w:bookmarkStart w:id="10" w:name="_Toc504140695"/>
      <w:r>
        <w:t>Neptune</w:t>
      </w:r>
      <w:r>
        <w:t>CRM</w:t>
      </w:r>
      <w:r>
        <w:t xml:space="preserve"> data</w:t>
      </w:r>
      <w:bookmarkEnd w:id="10"/>
    </w:p>
    <w:p w:rsidR="00960E3C" w:rsidRDefault="00960E3C" w:rsidP="00960E3C">
      <w:r>
        <w:t xml:space="preserve">Copy the NeptuneCRM test data feed files CRMIII_*.* and rembook*.asc.gz </w:t>
      </w:r>
      <w:r w:rsidR="00AB5943">
        <w:t xml:space="preserve">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 </w:t>
      </w:r>
      <w:r>
        <w:t>to folder G:\Marine\MarineCRM\Neptune\FullLoad</w:t>
      </w:r>
      <w:r w:rsidR="00852780">
        <w:t xml:space="preserve"> [5 files in total]</w:t>
      </w:r>
      <w:r>
        <w:t>. Amend the date</w:t>
      </w:r>
      <w:r w:rsidR="00376757">
        <w:t>stamp</w:t>
      </w:r>
      <w:r>
        <w:t xml:space="preserve"> </w:t>
      </w:r>
      <w:r w:rsidR="00325B9C">
        <w:t>with</w:t>
      </w:r>
      <w:r>
        <w:t>in the filenames of the Client Preferences and Rembook files to the current date</w:t>
      </w:r>
      <w:r w:rsidR="00376757">
        <w:t>.</w:t>
      </w:r>
      <w:r>
        <w:t xml:space="preserve"> </w:t>
      </w:r>
      <w:r w:rsidR="00376757">
        <w:t>A</w:t>
      </w:r>
      <w:r>
        <w:t>lso amend the date</w:t>
      </w:r>
      <w:r w:rsidR="00376757">
        <w:t>stamp</w:t>
      </w:r>
      <w:r>
        <w:t xml:space="preserve"> </w:t>
      </w:r>
      <w:r w:rsidR="00325B9C">
        <w:t>with</w:t>
      </w:r>
      <w:r>
        <w:t xml:space="preserve">in the filename of the zipped file content of the Rembook file (easy </w:t>
      </w:r>
      <w:r w:rsidR="00762A3A">
        <w:t>to do using</w:t>
      </w:r>
      <w:r w:rsidR="00376757">
        <w:t xml:space="preserve"> 7-Zip file manager)</w:t>
      </w:r>
      <w:r w:rsidR="00171AF1">
        <w:t>.</w:t>
      </w:r>
    </w:p>
    <w:p w:rsidR="00376757" w:rsidRDefault="00376757" w:rsidP="00376757">
      <w:r>
        <w:t>In MS SQL Server Management Studio run the following job:</w:t>
      </w:r>
    </w:p>
    <w:p w:rsidR="00376757" w:rsidRDefault="00376757" w:rsidP="00376757">
      <w:r>
        <w:t>Marine – Import – Neptune</w:t>
      </w:r>
      <w:r>
        <w:t>CRM</w:t>
      </w:r>
      <w:r>
        <w:t xml:space="preserve"> – DWYT18</w:t>
      </w:r>
    </w:p>
    <w:p w:rsidR="00960E3C" w:rsidRDefault="00960E3C" w:rsidP="00615CFA">
      <w:pPr>
        <w:pStyle w:val="Heading2"/>
      </w:pPr>
      <w:bookmarkStart w:id="11" w:name="_Toc504140696"/>
      <w:r>
        <w:t>HUBSPOT</w:t>
      </w:r>
      <w:bookmarkEnd w:id="11"/>
    </w:p>
    <w:p w:rsidR="00960E3C" w:rsidRDefault="00171AF1" w:rsidP="00960E3C">
      <w:r>
        <w:t>Modify</w:t>
      </w:r>
      <w:r w:rsidR="00960E3C">
        <w:t xml:space="preserve"> the BUILD_HUBSPOT_TRITON_TM_BOOKINGS, etc. SP</w:t>
      </w:r>
      <w:r>
        <w:t>s if necessary so that the date WHERE clause</w:t>
      </w:r>
      <w:r w:rsidR="00960E3C">
        <w:t xml:space="preserve"> </w:t>
      </w:r>
      <w:r>
        <w:t>has</w:t>
      </w:r>
      <w:r w:rsidR="00960E3C">
        <w:t xml:space="preserve"> </w:t>
      </w:r>
      <w:r>
        <w:t>a</w:t>
      </w:r>
      <w:r w:rsidR="00960E3C">
        <w:t xml:space="preserve"> suitable time period in order to select </w:t>
      </w:r>
      <w:r w:rsidR="003765EA">
        <w:t>a reasonable number of</w:t>
      </w:r>
      <w:r w:rsidR="00960E3C">
        <w:t xml:space="preserve"> booking</w:t>
      </w:r>
      <w:r w:rsidR="004C5C32">
        <w:t>, etc.</w:t>
      </w:r>
      <w:r w:rsidR="00960E3C">
        <w:t xml:space="preserve"> records</w:t>
      </w:r>
      <w:r>
        <w:t>.</w:t>
      </w:r>
    </w:p>
    <w:p w:rsidR="003F6736" w:rsidRDefault="00960E3C" w:rsidP="00960E3C">
      <w:r>
        <w:t>In a Windows Explorer window for folder G:\AMI_UAT\MarineCRM\HUBSPOT run ‘HUBSPOT_API - DWYT16TEST.bat’</w:t>
      </w:r>
      <w:r w:rsidR="00D15731">
        <w:t xml:space="preserve"> (Triton data upload)</w:t>
      </w:r>
      <w:r w:rsidR="003765EA">
        <w:t xml:space="preserve"> and/or ‘HUBSPOT_API – ZLBTEST.bat’</w:t>
      </w:r>
      <w:r w:rsidR="00D15731">
        <w:t xml:space="preserve"> (Neptune data upload)</w:t>
      </w:r>
      <w:r>
        <w:t>. Edit th</w:t>
      </w:r>
      <w:r w:rsidR="003765EA">
        <w:t>ese</w:t>
      </w:r>
      <w:r w:rsidR="000F6E85">
        <w:t xml:space="preserve"> and also ‘</w:t>
      </w:r>
      <w:r w:rsidR="000F6E85" w:rsidRPr="000F6E85">
        <w:t>Export_TO_CSV_DWYT16TEST.ps1</w:t>
      </w:r>
      <w:r w:rsidR="000F6E85">
        <w:t>’</w:t>
      </w:r>
      <w:r>
        <w:t xml:space="preserve"> </w:t>
      </w:r>
      <w:r w:rsidR="001928A4">
        <w:t xml:space="preserve">beforehand </w:t>
      </w:r>
      <w:r>
        <w:t>acco</w:t>
      </w:r>
      <w:r w:rsidR="003F6736">
        <w:t>rding to what you want to test.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 xml:space="preserve">(Program.cs) </w:t>
      </w:r>
      <w:r w:rsidR="00960E3C">
        <w:t>may need tweaking</w:t>
      </w:r>
      <w:r w:rsidR="000F6E85">
        <w:t xml:space="preserve"> to match</w:t>
      </w:r>
      <w:r w:rsidR="00960E3C">
        <w:t>. Also there are dependencies on table HUBSPOT.dbo. SL_HUBSPOT_FIELD_NAMES (might need new or amended records</w:t>
      </w:r>
      <w:r>
        <w:t xml:space="preserve"> to suit differences between actual and test accounts</w:t>
      </w:r>
      <w:r w:rsidR="00960E3C">
        <w:t>) and SP HUBSPOT.dbo. SELECT_SL_HUBSPOT_FIELD_NAMES (might need tweaking to suit cha</w:t>
      </w:r>
      <w:r>
        <w:t>nging test account names, etc.)</w:t>
      </w:r>
      <w:r w:rsidR="009F73AA">
        <w:t>.</w:t>
      </w:r>
    </w:p>
    <w:p w:rsidR="00960E3C" w:rsidRDefault="00960E3C" w:rsidP="00960E3C">
      <w:r>
        <w:t>Afterwards check the log file ‘HUBSPOT_API.log’</w:t>
      </w:r>
      <w:r w:rsidR="00505A84">
        <w:t>.</w:t>
      </w:r>
    </w:p>
    <w:p w:rsidR="00960E3C" w:rsidRDefault="00E93D52" w:rsidP="00960E3C">
      <w:r>
        <w:t>R</w:t>
      </w:r>
      <w:r w:rsidR="00960E3C">
        <w:t>un ‘ExportRecordsToCSV - DWYT16TEST.bat’</w:t>
      </w:r>
      <w:r w:rsidR="00505A84">
        <w:t>.</w:t>
      </w:r>
    </w:p>
    <w:p w:rsidR="00960E3C" w:rsidRDefault="00960E3C" w:rsidP="00960E3C">
      <w:r>
        <w:t xml:space="preserve">Afterwards check the </w:t>
      </w:r>
      <w:r w:rsidR="003765EA">
        <w:t>expor</w:t>
      </w:r>
      <w:r>
        <w:t xml:space="preserve">ted Errors and Success files, and also the </w:t>
      </w:r>
      <w:r w:rsidR="003765EA">
        <w:t xml:space="preserve">exported </w:t>
      </w:r>
      <w:r>
        <w:t>data files</w:t>
      </w:r>
      <w:r w:rsidR="003765EA">
        <w:t>.</w:t>
      </w:r>
    </w:p>
    <w:p w:rsidR="00A203A5" w:rsidRDefault="00271364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1801</w:t>
    </w:r>
    <w:r w:rsidR="00B00DB4">
      <w:rPr>
        <w:sz w:val="16"/>
        <w:szCs w:val="16"/>
      </w:rPr>
      <w:t>1</w:t>
    </w:r>
    <w:r w:rsidR="007A51B5">
      <w:rPr>
        <w:sz w:val="16"/>
        <w:szCs w:val="16"/>
      </w:rPr>
      <w:t>9</w:t>
    </w:r>
    <w:r>
      <w:rPr>
        <w:sz w:val="16"/>
        <w:szCs w:val="16"/>
      </w:rPr>
      <w:t xml:space="preserve">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271364">
      <w:rPr>
        <w:noProof/>
        <w:sz w:val="16"/>
        <w:szCs w:val="16"/>
      </w:rPr>
      <w:t>3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271364">
      <w:rPr>
        <w:noProof/>
        <w:sz w:val="16"/>
        <w:szCs w:val="16"/>
      </w:rPr>
      <w:t>3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45937"/>
    <w:rsid w:val="000F6E85"/>
    <w:rsid w:val="00144301"/>
    <w:rsid w:val="00167DA2"/>
    <w:rsid w:val="00170CF5"/>
    <w:rsid w:val="00171AF1"/>
    <w:rsid w:val="001928A4"/>
    <w:rsid w:val="001D3688"/>
    <w:rsid w:val="0021020B"/>
    <w:rsid w:val="00271364"/>
    <w:rsid w:val="002F6924"/>
    <w:rsid w:val="00325B9C"/>
    <w:rsid w:val="003765EA"/>
    <w:rsid w:val="00376757"/>
    <w:rsid w:val="003A08FB"/>
    <w:rsid w:val="003F6736"/>
    <w:rsid w:val="004B4DA2"/>
    <w:rsid w:val="004C5C32"/>
    <w:rsid w:val="004E1991"/>
    <w:rsid w:val="00505A84"/>
    <w:rsid w:val="005704C9"/>
    <w:rsid w:val="00601DFF"/>
    <w:rsid w:val="00615CFA"/>
    <w:rsid w:val="00691DAA"/>
    <w:rsid w:val="006C7F3C"/>
    <w:rsid w:val="00762A3A"/>
    <w:rsid w:val="00781E99"/>
    <w:rsid w:val="007A51B5"/>
    <w:rsid w:val="00852780"/>
    <w:rsid w:val="009375DA"/>
    <w:rsid w:val="0095316C"/>
    <w:rsid w:val="00960E3C"/>
    <w:rsid w:val="00975787"/>
    <w:rsid w:val="00980D7A"/>
    <w:rsid w:val="009F73AA"/>
    <w:rsid w:val="00A679CB"/>
    <w:rsid w:val="00AB5943"/>
    <w:rsid w:val="00AE5E74"/>
    <w:rsid w:val="00B00DB4"/>
    <w:rsid w:val="00B352D7"/>
    <w:rsid w:val="00B47053"/>
    <w:rsid w:val="00B7498A"/>
    <w:rsid w:val="00B8698B"/>
    <w:rsid w:val="00B90E13"/>
    <w:rsid w:val="00C832AC"/>
    <w:rsid w:val="00C86A93"/>
    <w:rsid w:val="00D018FA"/>
    <w:rsid w:val="00D15731"/>
    <w:rsid w:val="00D506B6"/>
    <w:rsid w:val="00E2707C"/>
    <w:rsid w:val="00E93D52"/>
    <w:rsid w:val="00EA6E46"/>
    <w:rsid w:val="00FC69F6"/>
    <w:rsid w:val="00FE7938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47</cp:revision>
  <dcterms:created xsi:type="dcterms:W3CDTF">2018-01-02T11:08:00Z</dcterms:created>
  <dcterms:modified xsi:type="dcterms:W3CDTF">2018-01-19T16:04:00Z</dcterms:modified>
</cp:coreProperties>
</file>