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2.png" ContentType="image/png"/>
  <Override PartName="/word/media/rId35.png" ContentType="image/png"/>
  <Override PartName="/word/media/rId38.png" ContentType="image/png"/>
  <Override PartName="/word/media/rId33.png" ContentType="image/png"/>
  <Override PartName="/word/media/rId36.png" ContentType="image/png"/>
  <Override PartName="/word/media/rId37.png" ContentType="image/png"/>
  <Override PartName="/word/media/rId31.png" ContentType="image/png"/>
  <Override PartName="/word/media/rId42.png" ContentType="image/png"/>
  <Override PartName="/word/media/rId55.png" ContentType="image/png"/>
  <Override PartName="/word/media/rId56.png" ContentType="image/png"/>
  <Override PartName="/word/media/rId91.png" ContentType="image/png"/>
  <Override PartName="/word/media/rId92.png" ContentType="image/png"/>
  <Override PartName="/word/media/rId64.png" ContentType="image/png"/>
  <Override PartName="/word/media/rId65.png" ContentType="image/png"/>
  <Override PartName="/word/media/rId69.png" ContentType="image/png"/>
  <Override PartName="/word/media/rId80.png" ContentType="image/png"/>
  <Override PartName="/word/media/rId61.png" ContentType="image/png"/>
  <Override PartName="/word/media/rId62.png" ContentType="image/png"/>
  <Override PartName="/word/media/rId89.png" ContentType="image/png"/>
  <Override PartName="/word/media/rId84.png" ContentType="image/png"/>
  <Override PartName="/word/media/rId52.png" ContentType="image/png"/>
  <Override PartName="/word/media/rId53.png" ContentType="image/png"/>
  <Override PartName="/word/media/rId74.png" ContentType="image/png"/>
  <Override PartName="/word/media/rId75.png" ContentType="image/png"/>
  <Override PartName="/word/media/rId76.png" ContentType="image/png"/>
  <Override PartName="/word/media/rId73.png" ContentType="image/png"/>
  <Override PartName="/word/media/rId78.png" ContentType="image/png"/>
  <Override PartName="/word/media/rId79.png" ContentType="image/png"/>
  <Override PartName="/word/media/rId87.png" ContentType="image/png"/>
  <Override PartName="/word/media/rId88.png" ContentType="image/png"/>
  <Override PartName="/word/media/rId72.png" ContentType="image/png"/>
  <Override PartName="/word/media/rId82.png" ContentType="image/png"/>
  <Override PartName="/word/media/rId83.png" ContentType="image/png"/>
  <Override PartName="/word/media/rId59.png" ContentType="image/png"/>
  <Override PartName="/word/media/rId58.png" ContentType="image/png"/>
  <Override PartName="/word/media/rId81.png" ContentType="image/png"/>
  <Override PartName="/word/media/rId85.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2020-12-01</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t xml:space="preserve">Script: Área destinada a escrevermos o nosso código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1"/>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t xml:space="preserve">Environment: Área destinada a indicar os objetos e funções criadas (Figura</w:t>
      </w:r>
      <w:r>
        <w:t xml:space="preserve"> </w:t>
      </w:r>
      <w:r>
        <w:t xml:space="preserve">1.3</w:t>
      </w:r>
      <w:r>
        <w:t xml:space="preserve">);</w:t>
      </w:r>
    </w:p>
    <w:p>
      <w:pPr>
        <w:pStyle w:val="CaptionedFigure"/>
      </w:pPr>
      <w:r>
        <w:drawing>
          <wp:inline>
            <wp:extent cx="4292867" cy="2156058"/>
            <wp:effectExtent b="0" l="0" r="0" t="0"/>
            <wp:docPr descr="Figura 1.3: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2"/>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1.3: Guia do RStudio referente ao ambiente environment, local onde estarão indicados os objetos criados.</w:t>
      </w:r>
    </w:p>
    <w:p>
      <w:pPr>
        <w:pStyle w:val="Compact"/>
        <w:numPr>
          <w:numId w:val="1003"/>
          <w:ilvl w:val="0"/>
        </w:numPr>
      </w:pPr>
      <w:r>
        <w:t xml:space="preserve">History: Área destinada a indicar o histórico dos comandos executados (Figura</w:t>
      </w:r>
      <w:r>
        <w:t xml:space="preserve"> </w:t>
      </w:r>
      <w:r>
        <w:t xml:space="preserve">1.4</w:t>
      </w:r>
      <w:r>
        <w:t xml:space="preserve">);</w:t>
      </w:r>
    </w:p>
    <w:p>
      <w:pPr>
        <w:pStyle w:val="CaptionedFigure"/>
      </w:pPr>
      <w:r>
        <w:drawing>
          <wp:inline>
            <wp:extent cx="4292867" cy="2146433"/>
            <wp:effectExtent b="0" l="0" r="0" t="0"/>
            <wp:docPr descr="Figura 1.4: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3"/>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1.4: Guia do RStudio referente ao ambiente history onde estará listado todos os comandos executados.</w:t>
      </w:r>
    </w:p>
    <w:p>
      <w:pPr>
        <w:pStyle w:val="Compact"/>
        <w:numPr>
          <w:numId w:val="1004"/>
          <w:ilvl w:val="0"/>
        </w:numPr>
      </w:pPr>
      <w:r>
        <w:t xml:space="preserve">Console: Área destinada ao resultado da execução do comando (Figura</w:t>
      </w:r>
      <w:r>
        <w:t xml:space="preserve"> </w:t>
      </w:r>
      <w:r>
        <w:t xml:space="preserve">1.5</w:t>
      </w:r>
      <w:r>
        <w:t xml:space="preserve">);</w:t>
      </w:r>
    </w:p>
    <w:p>
      <w:pPr>
        <w:pStyle w:val="CaptionedFigure"/>
      </w:pPr>
      <w:r>
        <w:drawing>
          <wp:inline>
            <wp:extent cx="4064000" cy="4775200"/>
            <wp:effectExtent b="0" l="0" r="0" t="0"/>
            <wp:docPr descr="Figura 1.5: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1.5: Guia do RStudio referente ao ambiente console onde o resultado dos comandos executados irão aparecer.</w:t>
      </w:r>
    </w:p>
    <w:p>
      <w:pPr>
        <w:pStyle w:val="Compact"/>
        <w:numPr>
          <w:numId w:val="1005"/>
          <w:ilvl w:val="0"/>
        </w:numPr>
      </w:pPr>
      <w:r>
        <w:t xml:space="preserve">Files: Área destinada a visualização e acesso dos arquivos do computador (Figura</w:t>
      </w:r>
      <w:r>
        <w:t xml:space="preserve"> </w:t>
      </w:r>
      <w:r>
        <w:t xml:space="preserve">1.6</w:t>
      </w:r>
      <w:r>
        <w:t xml:space="preserve">);</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5"/>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Compact"/>
        <w:numPr>
          <w:numId w:val="1006"/>
          <w:ilvl w:val="0"/>
        </w:numPr>
      </w:pPr>
      <w:r>
        <w:t xml:space="preserve">Packages: Área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6"/>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t xml:space="preserve">Plot: Área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7"/>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t xml:space="preserve">Help: Área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38"/>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39" w:name="importar-organizar-e-sumarizar-os-dados"/>
      <w:r>
        <w:t xml:space="preserve">2	Importar, organizar e sumarizar os dados</w:t>
      </w:r>
      <w:bookmarkEnd w:id="39"/>
    </w:p>
    <w:p>
      <w:pPr>
        <w:pStyle w:val="Heading2"/>
      </w:pPr>
      <w:bookmarkStart w:id="40" w:name="passo-definir-o-ambiente-de-trabalho-e-importar-a-planilha-de-dados-para-o-r"/>
      <w:r>
        <w:t xml:space="preserve">2.1	1° passo: Definir o ambiente de trabalho e importar a planilha de dados para o R</w:t>
      </w:r>
      <w:bookmarkEnd w:id="40"/>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1" w:name="definir-ambiente-de-trabalho-via-linha-de-comando"/>
      <w:r>
        <w:t xml:space="preserve">2.1.1	Definir ambiente de trabalho via linha de comando</w:t>
      </w:r>
      <w:bookmarkEnd w:id="41"/>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2"/>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3"/>
      </w:r>
      <w:r>
        <w:t xml:space="preserve">, nela agora situa-se as pastas e arquivos da pasta que selecionamos e onde estará salvo nosso script quando o salvarmos.</w:t>
      </w:r>
    </w:p>
    <w:p>
      <w:pPr>
        <w:pStyle w:val="BodyText"/>
      </w:pPr>
      <w:r>
        <w:t xml:space="preserve">Sempre defina o ambiente de trabalho antes de iniciar o seu projeto. As planilhas que irão utilizar devem estar neste ambiente de trabalho previamente definido. Embora não necessário, mas isso evitará problemas futuras e facilitará o seu trajeto inicial no R. As funções e códigos serão abordados, aqui, seguindo está ideia.</w:t>
      </w:r>
    </w:p>
    <w:p>
      <w:pPr>
        <w:pStyle w:val="Heading3"/>
      </w:pPr>
      <w:bookmarkStart w:id="44" w:name="definir-ambiente-de-trabalho-via-interface-gráfica"/>
      <w:r>
        <w:t xml:space="preserve">2.1.2	Definir ambiente de trabalho via interface gráfica</w:t>
      </w:r>
      <w:bookmarkEnd w:id="44"/>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w:t>
      </w:r>
      <w:r>
        <w:t xml:space="preserve">) da mesma forma que a opção anterior a mesma janela irá aparecer (Figura</w:t>
      </w:r>
      <w:r>
        <w:t xml:space="preserve"> </w:t>
      </w:r>
      <w:r>
        <w:t xml:space="preserve">??</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w:t>
      </w:r>
      <w:r>
        <w:t xml:space="preserve">).</w:t>
      </w:r>
    </w:p>
    <w:p>
      <w:pPr>
        <w:pStyle w:val="BodyText"/>
      </w:pPr>
      <w:r>
        <w:rPr>
          <w:b/>
        </w:rPr>
        <w:t xml:space="preserve">[Inserir PRINT da janela ctrl shift h]</w:t>
      </w:r>
    </w:p>
    <w:p>
      <w:pPr>
        <w:pStyle w:val="BodyText"/>
      </w:pPr>
      <w:r>
        <w:rPr>
          <w:b/>
        </w:rPr>
        <w:t xml:space="preserve">[Inserir PRINT da janela session]</w:t>
      </w:r>
    </w:p>
    <w:p>
      <w:pPr>
        <w:pStyle w:val="BodyText"/>
      </w:pPr>
      <w:r>
        <w:rPr>
          <w:b/>
        </w:rPr>
        <w:t xml:space="preserve">[Inserir PRINT da janela files-guia]</w:t>
      </w:r>
    </w:p>
    <w:p>
      <w:pPr>
        <w:pStyle w:val="Heading3"/>
      </w:pPr>
      <w:bookmarkStart w:id="45" w:name="importar-planilha-via-linha-de-comando"/>
      <w:r>
        <w:t xml:space="preserve">2.1.3	Importar planilha via linha de comando:</w:t>
      </w:r>
      <w:bookmarkEnd w:id="45"/>
    </w:p>
    <w:p>
      <w:pPr>
        <w:pStyle w:val="FirstParagraph"/>
      </w:pPr>
      <w:r>
        <w:t xml:space="preserve">Primeiro construa a planilha a seguir (Figura</w:t>
      </w:r>
      <w:r>
        <w:t xml:space="preserve"> </w:t>
      </w:r>
      <w:r>
        <w:t xml:space="preserve">??</w:t>
      </w:r>
      <w:r>
        <w:t xml:space="preserve">) no formato *.csv (usando vírgula como separador de colunas e ponto como separador decimal) e *.xlsx em um editor de planilhas, como excel, libreoffice calc ou outros e a salve com o nome de planilha.csv e planilha.xlsx no diretório que definiu previamente. A seguir demonstraremos as diferenças na importação de ambas as planilhas.</w:t>
      </w:r>
    </w:p>
    <w:p>
      <w:pPr>
        <w:pStyle w:val="BodyText"/>
      </w:pPr>
      <w:r>
        <w:rPr>
          <w:b/>
        </w:rPr>
        <w:t xml:space="preserve">[Inserir imagem da planilha csv]</w:t>
      </w:r>
    </w:p>
    <w:p>
      <w:pPr>
        <w:pStyle w:val="BodyText"/>
      </w:pPr>
      <w:r>
        <w:rPr>
          <w:b/>
        </w:rPr>
        <w:t xml:space="preserve">[Inserir imagem da planilha xlsx]</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46"/>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w:t>
      </w:r>
    </w:p>
    <w:p>
      <w:pPr>
        <w:pStyle w:val="BodyText"/>
      </w:pPr>
      <w:r>
        <w:rPr>
          <w:b/>
        </w:rPr>
        <w:t xml:space="preserve">[Inserir imagem do resultado de importação - o arquivo presente no environment]</w:t>
      </w:r>
    </w:p>
    <w:p>
      <w:pPr>
        <w:pStyle w:val="Heading3"/>
      </w:pPr>
      <w:bookmarkStart w:id="47" w:name="importar-planilha-via-interface-gráfica"/>
      <w:r>
        <w:t xml:space="preserve">2.1.4	Importar planilha via interface gráfica:</w:t>
      </w:r>
      <w:bookmarkEnd w:id="47"/>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w:t>
      </w:r>
      <w:r>
        <w:t xml:space="preserve">).</w:t>
      </w:r>
    </w:p>
    <w:p>
      <w:pPr>
        <w:pStyle w:val="BodyText"/>
      </w:pPr>
      <w:r>
        <w:t xml:space="preserve">Neste momento uma janela irá abrir (Figura</w:t>
      </w:r>
      <w:r>
        <w:t xml:space="preserve"> </w:t>
      </w:r>
      <w:r>
        <w:t xml:space="preserve">??</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BodyText"/>
      </w:pPr>
      <w:r>
        <w:rPr>
          <w:b/>
        </w:rPr>
        <w:t xml:space="preserve">[Inserir imagem do processo de importação via interface gráfica]</w:t>
      </w:r>
      <w:r>
        <w:t xml:space="preserve"> </w:t>
      </w:r>
      <w:r>
        <w:rPr>
          <w:b/>
        </w:rPr>
        <w:t xml:space="preserve">[Inserir imagem do processo de importação via interface gráfica janela com o arquivo]</w:t>
      </w:r>
    </w:p>
    <w:p>
      <w:pPr>
        <w:pStyle w:val="Heading2"/>
      </w:pPr>
      <w:bookmarkStart w:id="48" w:name="passo-ajustar-os-dados"/>
      <w:r>
        <w:t xml:space="preserve">2.2	2° passo: Ajustar os dados</w:t>
      </w:r>
      <w:bookmarkEnd w:id="48"/>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49"/>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rPr>
          <w:b/>
        </w:rPr>
        <w:t xml:space="preserve">Realizar o exemplo abaixo?</w:t>
      </w:r>
      <w:r>
        <w:t xml:space="preserve"> </w:t>
      </w: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r>
        <w:t xml:space="preserve"> </w:t>
      </w:r>
      <w:r>
        <w:rPr>
          <w:b/>
        </w:rPr>
        <w:t xml:space="preserve">Realizar o exemplo acima?</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0" w:name="passo-sumarizar-os-dados-graficamente"/>
      <w:r>
        <w:t xml:space="preserve">2.3	3° passo: Sumarizar os dados graficamente</w:t>
      </w:r>
      <w:bookmarkEnd w:id="50"/>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1" w:name="histograma"/>
      <w:r>
        <w:t xml:space="preserve">2.3.1	Histograma</w:t>
      </w:r>
      <w:bookmarkEnd w:id="51"/>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2: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3: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 Comprimento dos organismos da planilha dados com barras coloridas</w:t>
      </w:r>
    </w:p>
    <w:p>
      <w:pPr>
        <w:pStyle w:val="BodyText"/>
      </w:pPr>
      <w:r>
        <w:t xml:space="preserve">Temos aqui nosso histograma (Figura</w:t>
      </w:r>
      <w:r>
        <w:t xml:space="preserve"> </w:t>
      </w:r>
      <w:r>
        <w:t xml:space="preserve">2.3</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54" w:name="gráfico-de-barras"/>
      <w:r>
        <w:t xml:space="preserve">2.3.2	GRÁFICO DE BARRAS</w:t>
      </w:r>
      <w:bookmarkEnd w:id="54"/>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observados.</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2.4</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4: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2.4: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2.5</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5: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2.5: Gráfico de barras com número de indivíduos da planilha abundância por mês, com barras coloridas</w:t>
      </w:r>
    </w:p>
    <w:p>
      <w:pPr>
        <w:pStyle w:val="BodyText"/>
      </w:pPr>
      <w:r>
        <w:rPr>
          <w:b/>
        </w:rPr>
        <w:t xml:space="preserve">MUDAR A TABELA EXPLICANDO OS ARGUMENTOS PARA TEXTO CORRIDO?</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 barplot() (Tabela</w:t>
      </w:r>
      <w:r>
        <w:t xml:space="preserve"> </w:t>
      </w:r>
      <w:r>
        <w:t xml:space="preserve">2.1</w:t>
      </w:r>
      <w:r>
        <w:t xml:space="preserve">).</w:t>
      </w:r>
    </w:p>
    <w:p>
      <w:pPr>
        <w:pStyle w:val="Compact"/>
      </w:pPr>
      <w:r>
        <w:t xml:space="preserve">Tabela 2.1: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Heading3"/>
      </w:pPr>
      <w:bookmarkStart w:id="57" w:name="gráfico-de-linhas"/>
      <w:r>
        <w:t xml:space="preserve">2.3.3	GRÁFICO DE LINHAS</w:t>
      </w:r>
      <w:bookmarkEnd w:id="57"/>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numero.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6: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2.6: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2.7</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7: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2.7: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OU TEXTO CORRIDO EXPLICANDO OS ARGUMENTOS]</w:t>
      </w:r>
    </w:p>
    <w:p>
      <w:pPr>
        <w:pStyle w:val="Heading3"/>
      </w:pPr>
      <w:bookmarkStart w:id="60" w:name="boxplot"/>
      <w:r>
        <w:t xml:space="preserve">2.3.4	BOXPLOT</w:t>
      </w:r>
      <w:bookmarkEnd w:id="60"/>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2.8</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8: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2.8: Gráfico tipo boxplot do comprimento por ano, da planilha dados</w:t>
      </w:r>
    </w:p>
    <w:p>
      <w:pPr>
        <w:pStyle w:val="BodyText"/>
      </w:pPr>
      <w:r>
        <w:t xml:space="preserve">Repare que a escrita para esse gráfico é ligeiramente diferente. Ele usa a função boxplot(),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2.9</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9: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2.9: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63" w:name="passo-sumarizar-os-dados-numericamente"/>
      <w:r>
        <w:t xml:space="preserve">2.4	4° passo: Sumarizar os dados numericamente</w:t>
      </w:r>
      <w:bookmarkEnd w:id="63"/>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Até o momento aprendemos a explorar e sumarizar nossos dados graficamente. Visualizamos também a função</w:t>
      </w:r>
      <w:r>
        <w:t xml:space="preserve"> </w:t>
      </w:r>
      <w:r>
        <w:rPr>
          <w:b/>
        </w:rPr>
        <w:t xml:space="preserve">summary()</w:t>
      </w:r>
      <w:r>
        <w:t xml:space="preserve"> </w:t>
      </w:r>
      <w:r>
        <w:t xml:space="preserve">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a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intuítivo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2.10</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0: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2.11</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11: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Heading1"/>
      </w:pPr>
      <w:bookmarkStart w:id="66" w:name="qui-quadrado-chi"/>
      <w:r>
        <w:t xml:space="preserve">3	Qui-quadrado (</w:t>
      </w:r>
      <m:oMath>
        <m:r>
          <m:t>χ</m:t>
        </m:r>
      </m:oMath>
      <w:r>
        <w:t xml:space="preserve">²)</w:t>
      </w:r>
      <w:bookmarkEnd w:id="66"/>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w:t>
      </w:r>
      <m:oMath>
        <m:r>
          <m:t>χ</m:t>
        </m:r>
      </m:oMath>
      <w:r>
        <w:t xml:space="preserve">² para ajuste de frequências) ou se as proporções das observações de duas ou mais variáveis categóricas são independentes uma da outra (</w:t>
      </w:r>
      <m:oMath>
        <m:r>
          <m:t>χ</m:t>
        </m:r>
      </m:oMath>
      <w:r>
        <w:t xml:space="preserve">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m:oMath>
        <m:r>
          <m:t>χ</m:t>
        </m:r>
      </m:oMath>
      <w:r>
        <w:rPr>
          <w:b/>
        </w:rPr>
        <w:t xml:space="preserve">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67" w:name="chi-para-ajuste-de-frequências"/>
      <w:r>
        <w:t xml:space="preserve">3.1	</w:t>
      </w:r>
      <m:oMath>
        <m:r>
          <m:t>χ</m:t>
        </m:r>
      </m:oMath>
      <w:r>
        <w:t xml:space="preserve">² para ajuste de frequências</w:t>
      </w:r>
      <w:bookmarkEnd w:id="67"/>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w:t>
      </w:r>
      <w:r>
        <w:t xml:space="preserve"> </w:t>
      </w:r>
      <m:oMath>
        <m:r>
          <m:t>χ</m:t>
        </m:r>
      </m:oMath>
      <w:r>
        <w:t xml:space="preserve">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w:t>
      </w:r>
      <w:r>
        <w:t xml:space="preserve"> </w:t>
      </w:r>
      <m:oMath>
        <m:r>
          <m:t>χ</m:t>
        </m:r>
      </m:oMath>
      <w:r>
        <w:t xml:space="preserve">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w:t>
      </w:r>
      <w:r>
        <w:t xml:space="preserve"> </w:t>
      </w:r>
      <m:oMath>
        <m:r>
          <m:t>χ</m:t>
        </m:r>
      </m:oMath>
      <w:r>
        <w:t xml:space="preserve">²,o grau de liberdade (df do inglês degrees of freedom) e o valor de probabilidade associado (do inglês p-value).</w:t>
      </w:r>
    </w:p>
    <w:p>
      <w:pPr>
        <w:pStyle w:val="BodyText"/>
      </w:pPr>
      <w:r>
        <w:t xml:space="preserve">Uma característica do</w:t>
      </w:r>
      <w:r>
        <w:t xml:space="preserve"> </w:t>
      </w:r>
      <m:oMath>
        <m:r>
          <m:t>χ</m:t>
        </m:r>
      </m:oMath>
      <w:r>
        <w:t xml:space="preserve">² é que quanto mais similares forem os valores observados menor será o valor do</w:t>
      </w:r>
      <w:r>
        <w:t xml:space="preserve"> </w:t>
      </w:r>
      <m:oMath>
        <m:r>
          <m:t>χ</m:t>
        </m:r>
      </m:oMath>
      <w:r>
        <w:t xml:space="preserve">² mas nunca menor que 0 e com o p-value máximo igual a 1 e quanto mais dissimilares forem os valores observados maior será o</w:t>
      </w:r>
      <w:r>
        <w:t xml:space="preserve"> </w:t>
      </w:r>
      <m:oMath>
        <m:r>
          <m:t>χ</m:t>
        </m:r>
      </m:oMath>
      <w:r>
        <w:t xml:space="preserve">² (tendendo a infinito) e menor será o p-value (tendendo a 0)</w:t>
      </w:r>
    </w:p>
    <w:p>
      <w:pPr>
        <w:pStyle w:val="BodyText"/>
      </w:pPr>
      <w:r>
        <w:t xml:space="preserve">Com isso podemos observar que o</w:t>
      </w:r>
      <w:r>
        <w:t xml:space="preserve"> </w:t>
      </w:r>
      <m:oMath>
        <m:r>
          <m:t>χ</m:t>
        </m:r>
      </m:oMath>
      <w:r>
        <w:t xml:space="preserve">² varia entre (0 e + infinito) enquanto que o p-value varia entre (0 e 1) com uma relação inversa entre eles. Quanto maior o</w:t>
      </w:r>
      <w:r>
        <w:t xml:space="preserve"> </w:t>
      </w:r>
      <m:oMath>
        <m:r>
          <m:t>χ</m:t>
        </m:r>
      </m:oMath>
      <w:r>
        <w:t xml:space="preserve">² menor o p-value e quanto menor o</w:t>
      </w:r>
      <w:r>
        <w:t xml:space="preserve"> </w:t>
      </w:r>
      <m:oMath>
        <m:r>
          <m:t>χ</m:t>
        </m:r>
      </m:oMath>
      <w:r>
        <w:t xml:space="preserve">² maior o p-value. Experimente você altere os valores de maneira que eles sejam exatamente os mesmos e de que eles difiram bastante, repare nos valores de</w:t>
      </w:r>
      <w:r>
        <w:t xml:space="preserve"> </w:t>
      </w:r>
      <m:oMath>
        <m:r>
          <m:t>χ</m:t>
        </m:r>
      </m:oMath>
      <w:r>
        <w:t xml:space="preserve">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w:t>
      </w:r>
      <w:r>
        <w:t xml:space="preserve"> </w:t>
      </w:r>
      <m:oMath>
        <m:r>
          <m:t>χ</m:t>
        </m:r>
      </m:oMath>
      <w:r>
        <w:t xml:space="preserve">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w:t>
      </w:r>
      <w:r>
        <w:t xml:space="preserve"> </w:t>
      </w:r>
      <m:oMath>
        <m:r>
          <m:t>χ</m:t>
        </m:r>
      </m:oMath>
      <w:r>
        <w:t xml:space="preserve">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w:t>
      </w:r>
      <w:r>
        <w:t xml:space="preserve"> </w:t>
      </w:r>
      <m:oMath>
        <m:r>
          <m:t>χ</m:t>
        </m:r>
      </m:oMath>
      <w:r>
        <w:t xml:space="preserve">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w:t>
      </w:r>
      <w:r>
        <w:t xml:space="preserve"> </w:t>
      </w:r>
      <m:oMath>
        <m:r>
          <m:t>χ</m:t>
        </m:r>
      </m:oMath>
      <w:r>
        <w:t xml:space="preserve">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w:t>
      </w:r>
      <w:r>
        <w:t xml:space="preserve"> </w:t>
      </w:r>
      <m:oMath>
        <m:r>
          <m:t>χ</m:t>
        </m:r>
      </m:oMath>
      <w:r>
        <w:t xml:space="preserve">² sem a correção de Yates consiste em inflar o valor de</w:t>
      </w:r>
      <w:r>
        <w:t xml:space="preserve"> </w:t>
      </w:r>
      <m:oMath>
        <m:r>
          <m:t>χ</m:t>
        </m:r>
      </m:oMath>
      <w:r>
        <w:t xml:space="preserve">² e portanto diminuir o p-value o que nos levaria ao risco de rejeitarmos a hipótese nula quando ela é verdadeira (erro tipo I).</w:t>
      </w:r>
    </w:p>
    <w:p>
      <w:pPr>
        <w:pStyle w:val="BodyText"/>
      </w:pPr>
      <w:r>
        <w:t xml:space="preserve">A função do</w:t>
      </w:r>
      <w:r>
        <w:t xml:space="preserve"> </w:t>
      </w:r>
      <m:oMath>
        <m:r>
          <m:t>χ</m:t>
        </m:r>
      </m:oMath>
      <w:r>
        <w:t xml:space="preserve">² no pacote base do R não realiza essa correção para este teste, apenas para o próximo caso que iremos tratar (</w:t>
      </w:r>
      <m:oMath>
        <m:r>
          <m:t>χ</m:t>
        </m:r>
      </m:oMath>
      <w:r>
        <w:t xml:space="preserve">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0.07146</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68" w:name="chi-para-independência"/>
      <w:r>
        <w:t xml:space="preserve">3.2	</w:t>
      </w:r>
      <m:oMath>
        <m:r>
          <m:t>χ</m:t>
        </m:r>
      </m:oMath>
      <w:r>
        <w:t xml:space="preserve">² para independência</w:t>
      </w:r>
      <w:bookmarkEnd w:id="68"/>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w:t>
      </w:r>
      <w:r>
        <w:t xml:space="preserve"> </w:t>
      </w:r>
      <m:oMath>
        <m:r>
          <m:t>χ</m:t>
        </m:r>
      </m:oMath>
      <w:r>
        <w:t xml:space="preserve">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m:oMath>
        <m:r>
          <m:t>χ</m:t>
        </m:r>
      </m:oMath>
      <w:r>
        <w:rPr>
          <w:b/>
        </w:rPr>
        <w:t xml:space="preserve">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w:t>
      </w:r>
      <w:r>
        <w:t xml:space="preserve"> </w:t>
      </w:r>
      <m:oMath>
        <m:r>
          <m:t>χ</m:t>
        </m:r>
      </m:oMath>
      <w:r>
        <w:t xml:space="preserve">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w:t>
      </w:r>
      <w:r>
        <w:t xml:space="preserve"> </w:t>
      </w:r>
      <m:oMath>
        <m:r>
          <m:t>χ</m:t>
        </m:r>
      </m:oMath>
      <w:r>
        <w:t xml:space="preserve">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0" w:name="teste-t."/>
      <w:r>
        <w:t xml:space="preserve">4	Teste-t.</w:t>
      </w:r>
      <w:bookmarkEnd w:id="70"/>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71" w:name="teste-t-para-uma-amostra"/>
      <w:r>
        <w:t xml:space="preserve">4.1	Teste-t para uma amostra</w:t>
      </w:r>
      <w:bookmarkEnd w:id="71"/>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77" w:name="teste-t-para-duas-amostras"/>
      <w:r>
        <w:t xml:space="preserve">4.2	Teste-t para duas amostras</w:t>
      </w:r>
      <w:bookmarkEnd w:id="77"/>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86" w:name="teste-t-pareado"/>
      <w:r>
        <w:t xml:space="preserve">4.3	Teste-t pareado</w:t>
      </w:r>
      <w:bookmarkEnd w:id="86"/>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93" w:name="final-words"/>
      <w:r>
        <w:t xml:space="preserve">5	Final Words</w:t>
      </w:r>
      <w:bookmarkEnd w:id="93"/>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43">
    <w:p>
      <w:pPr>
        <w:pStyle w:val="FootnoteText"/>
      </w:pPr>
      <w:r>
        <w:rPr>
          <w:rStyle w:val="FootnoteReference"/>
        </w:rPr>
        <w:footnoteRef/>
      </w:r>
      <w:r>
        <w:t xml:space="preserve"> </w:t>
      </w:r>
      <w:r>
        <w:t xml:space="preserve">Ver figura</w:t>
      </w:r>
      <w:r>
        <w:t xml:space="preserve"> </w:t>
      </w:r>
      <w:r>
        <w:t xml:space="preserve">1.6</w:t>
      </w:r>
    </w:p>
  </w:footnote>
  <w:footnote w:id="46">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49">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4" Target="media/rId84.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72" Target="media/rId72.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2020-12-01T14:47:58Z</dcterms:created>
  <dcterms:modified xsi:type="dcterms:W3CDTF">2020-12-01T14:47:58Z</dcterms:modified>
</cp:coreProperties>
</file>