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43.png" ContentType="image/png"/>
  <Override PartName="/word/media/rId44.png" ContentType="image/png"/>
  <Override PartName="/word/media/rId79.png" ContentType="image/png"/>
  <Override PartName="/word/media/rId80.png" ContentType="image/png"/>
  <Override PartName="/word/media/rId52.png" ContentType="image/png"/>
  <Override PartName="/word/media/rId53.png" ContentType="image/png"/>
  <Override PartName="/word/media/rId57.png" ContentType="image/png"/>
  <Override PartName="/word/media/rId68.png" ContentType="image/png"/>
  <Override PartName="/word/media/rId49.png" ContentType="image/png"/>
  <Override PartName="/word/media/rId50.png" ContentType="image/png"/>
  <Override PartName="/word/media/rId77.png" ContentType="image/png"/>
  <Override PartName="/word/media/rId72.png" ContentType="image/png"/>
  <Override PartName="/word/media/rId40.png" ContentType="image/png"/>
  <Override PartName="/word/media/rId41.png" ContentType="image/png"/>
  <Override PartName="/word/media/rId62.png" ContentType="image/png"/>
  <Override PartName="/word/media/rId63.png" ContentType="image/png"/>
  <Override PartName="/word/media/rId64.png" ContentType="image/png"/>
  <Override PartName="/word/media/rId61.png" ContentType="image/png"/>
  <Override PartName="/word/media/rId66.png" ContentType="image/png"/>
  <Override PartName="/word/media/rId67.png" ContentType="image/png"/>
  <Override PartName="/word/media/rId75.png" ContentType="image/png"/>
  <Override PartName="/word/media/rId76.png" ContentType="image/png"/>
  <Override PartName="/word/media/rId60.png" ContentType="image/png"/>
  <Override PartName="/word/media/rId70.png" ContentType="image/png"/>
  <Override PartName="/word/media/rId71.png" ContentType="image/png"/>
  <Override PartName="/word/media/rId47.png" ContentType="image/png"/>
  <Override PartName="/word/media/rId46.png" ContentType="image/png"/>
  <Override PartName="/word/media/rId69.png" ContentType="image/png"/>
  <Override PartName="/word/media/rId73.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2020-11-19</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sim que utilize os comandos e a ideia presente que mostraremos aqui no seu aprendizado do R e estatística em seus trabalhos. Por outro lado, é preciso saber como a plataforma do R funciona, pois um pequeno erro na escrita pode fazer com que a análise não funcione. Mas não se preocupem, não é nenhum bicho de sete cabeças.</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w:t>
      </w:r>
      <w:r>
        <w:t xml:space="preserve">). Ele fornece uma interface gráfica mais amigável para os usuários em geral, principalmente para quem está iniciando no R. Além disso ele fornece características e recursos importantes para o universo da programação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digitarmos três caracteres de um objeto, função etc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7"/>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seu uso diário mais acessível e facilitado. Mais detalhes sobre acesse</w:t>
      </w:r>
      <w:r>
        <w:t xml:space="preserve"> </w:t>
      </w:r>
      <w:hyperlink r:id="rId28">
        <w:r>
          <w:rPr>
            <w:rStyle w:val="Hyperlink"/>
          </w:rPr>
          <w:t xml:space="preserve">https://rstudio.com</w:t>
        </w:r>
      </w:hyperlink>
      <w:r>
        <w:t xml:space="preserve">.</w:t>
      </w:r>
    </w:p>
    <w:p>
      <w:pPr>
        <w:pStyle w:val="BodyText"/>
      </w:pPr>
      <w:r>
        <w:rPr>
          <w:b/>
        </w:rPr>
        <w:t xml:space="preserve">[INSERIR PRINT DO RSTUDIO]</w:t>
      </w:r>
    </w:p>
    <w:p>
      <w:pPr>
        <w:pStyle w:val="BodyText"/>
      </w:pPr>
      <w:r>
        <w:t xml:space="preserve">As guias mais importantes do RStudio para nosso uso.</w:t>
      </w:r>
    </w:p>
    <w:p>
      <w:pPr>
        <w:pStyle w:val="Compact"/>
        <w:numPr>
          <w:numId w:val="1001"/>
          <w:ilvl w:val="0"/>
        </w:numPr>
      </w:pPr>
      <w:r>
        <w:t xml:space="preserve">Script: Área destinada a escrevermos o nosso código e comentários;</w:t>
      </w:r>
    </w:p>
    <w:p>
      <w:pPr>
        <w:pStyle w:val="FirstParagraph"/>
      </w:pPr>
      <w:r>
        <w:rPr>
          <w:b/>
        </w:rPr>
        <w:t xml:space="preserve">[INSERIR PRINT DA GUIA RELACIONADA AO SCRIPT]</w:t>
      </w:r>
    </w:p>
    <w:p>
      <w:pPr>
        <w:pStyle w:val="Compact"/>
        <w:numPr>
          <w:numId w:val="1002"/>
          <w:ilvl w:val="0"/>
        </w:numPr>
      </w:pPr>
      <w:r>
        <w:t xml:space="preserve">Environment: Área destinada a indicar os objetos e funções criadas;</w:t>
      </w:r>
    </w:p>
    <w:p>
      <w:pPr>
        <w:pStyle w:val="FirstParagraph"/>
      </w:pPr>
      <w:r>
        <w:rPr>
          <w:b/>
        </w:rPr>
        <w:t xml:space="preserve">[INSERIR PRINT DA GUIA ENVIRONMENT]</w:t>
      </w:r>
    </w:p>
    <w:p>
      <w:pPr>
        <w:pStyle w:val="Compact"/>
        <w:numPr>
          <w:numId w:val="1003"/>
          <w:ilvl w:val="0"/>
        </w:numPr>
      </w:pPr>
      <w:r>
        <w:t xml:space="preserve">History: Área destinada a indicar o histórico dos comandos executados;</w:t>
      </w:r>
    </w:p>
    <w:p>
      <w:pPr>
        <w:pStyle w:val="FirstParagraph"/>
      </w:pPr>
      <w:r>
        <w:rPr>
          <w:b/>
        </w:rPr>
        <w:t xml:space="preserve">[INSERIR PRINT DA GUIA HISTORY]</w:t>
      </w:r>
    </w:p>
    <w:p>
      <w:pPr>
        <w:pStyle w:val="Compact"/>
        <w:numPr>
          <w:numId w:val="1004"/>
          <w:ilvl w:val="0"/>
        </w:numPr>
      </w:pPr>
      <w:r>
        <w:t xml:space="preserve">Console: Área destinada ao resultado da execução do comando;</w:t>
      </w:r>
    </w:p>
    <w:p>
      <w:pPr>
        <w:pStyle w:val="FirstParagraph"/>
      </w:pPr>
      <w:r>
        <w:rPr>
          <w:b/>
        </w:rPr>
        <w:t xml:space="preserve">[INSERIR PRINT DA GUIA CONSOLE]</w:t>
      </w:r>
    </w:p>
    <w:p>
      <w:pPr>
        <w:pStyle w:val="Compact"/>
        <w:numPr>
          <w:numId w:val="1005"/>
          <w:ilvl w:val="0"/>
        </w:numPr>
      </w:pPr>
      <w:r>
        <w:t xml:space="preserve">Files: Área destinada a visualização e acesso dos arquivos do computador;</w:t>
      </w:r>
    </w:p>
    <w:p>
      <w:pPr>
        <w:pStyle w:val="FirstParagraph"/>
      </w:pPr>
      <w:r>
        <w:rPr>
          <w:b/>
        </w:rPr>
        <w:t xml:space="preserve">[INSERIR PRINT DA GUIA FILES]</w:t>
      </w:r>
    </w:p>
    <w:p>
      <w:pPr>
        <w:pStyle w:val="Compact"/>
        <w:numPr>
          <w:numId w:val="1006"/>
          <w:ilvl w:val="0"/>
        </w:numPr>
      </w:pPr>
      <w:r>
        <w:t xml:space="preserve">Packages: Área destinada a visualização, instalação e carregamento dos pacotes/bibliotecas do R;</w:t>
      </w:r>
    </w:p>
    <w:p>
      <w:pPr>
        <w:pStyle w:val="FirstParagraph"/>
      </w:pPr>
      <w:r>
        <w:rPr>
          <w:b/>
        </w:rPr>
        <w:t xml:space="preserve">[INSERIR PRINT DA GUIA PACKAGES]</w:t>
      </w:r>
    </w:p>
    <w:p>
      <w:pPr>
        <w:pStyle w:val="Compact"/>
        <w:numPr>
          <w:numId w:val="1007"/>
          <w:ilvl w:val="0"/>
        </w:numPr>
      </w:pPr>
      <w:r>
        <w:t xml:space="preserve">Plot: Área destinada a visualização dos gráficos executados;</w:t>
      </w:r>
    </w:p>
    <w:p>
      <w:pPr>
        <w:pStyle w:val="FirstParagraph"/>
      </w:pPr>
      <w:r>
        <w:rPr>
          <w:b/>
        </w:rPr>
        <w:t xml:space="preserve">[INSERIR PRINT DA GUIA PLOT]</w:t>
      </w:r>
    </w:p>
    <w:p>
      <w:pPr>
        <w:pStyle w:val="Compact"/>
        <w:numPr>
          <w:numId w:val="1008"/>
          <w:ilvl w:val="0"/>
        </w:numPr>
      </w:pPr>
      <w:r>
        <w:t xml:space="preserve">Help: Área destinada a fornecer informações sobre as funções e pacotes do R;</w:t>
      </w:r>
    </w:p>
    <w:p>
      <w:pPr>
        <w:pStyle w:val="FirstParagraph"/>
      </w:pPr>
      <w:r>
        <w:rPr>
          <w:b/>
        </w:rPr>
        <w:t xml:space="preserve">[INSERIR PRINT DA GUIA HELP]</w:t>
      </w:r>
    </w:p>
    <w:p>
      <w:pPr>
        <w:pStyle w:val="Heading1"/>
      </w:pPr>
      <w:bookmarkStart w:id="29" w:name="importar-organizar-e-sumarizar-os-dados"/>
      <w:r>
        <w:t xml:space="preserve">2	Importar, organizar e sumarizar os dados</w:t>
      </w:r>
      <w:bookmarkEnd w:id="29"/>
    </w:p>
    <w:p>
      <w:pPr>
        <w:pStyle w:val="Heading2"/>
      </w:pPr>
      <w:bookmarkStart w:id="30" w:name="passo-definir-o-ambiente-de-trabalho-e-importar-a-planilha-de-dados-para-o-r"/>
      <w:r>
        <w:t xml:space="preserve">2.1	1° passo: Definir o ambiente de trabalho e importar a planilha de dados para o R</w:t>
      </w:r>
      <w:bookmarkEnd w:id="30"/>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31" w:name="definir-ambiente-de-trabalho-via-linha-de-comando"/>
      <w:r>
        <w:t xml:space="preserve">2.1.1	Definir ambiente de trabalho via linha de comando</w:t>
      </w:r>
      <w:bookmarkEnd w:id="31"/>
    </w:p>
    <w:p>
      <w:pPr>
        <w:pStyle w:val="FirstParagraph"/>
      </w:pPr>
      <w:r>
        <w:t xml:space="preserve">Para o sistema operacional Windows utilizamos o seguinte comando: setwd(choose.dir(</w:t>
      </w:r>
      <w:r>
        <w:rPr>
          <w:i/>
        </w:rPr>
        <w:t xml:space="preserve">path</w:t>
      </w:r>
      <w:r>
        <w:t xml:space="preserve">)) e para Linux utilizamos setwd(</w:t>
      </w:r>
      <w:r>
        <w:rPr>
          <w:i/>
        </w:rPr>
        <w:t xml:space="preserve">path</w:t>
      </w:r>
      <w:r>
        <w:t xml:space="preserve">), onde</w:t>
      </w:r>
      <w:r>
        <w:t xml:space="preserve"> </w:t>
      </w:r>
      <w:r>
        <w:rPr>
          <w:i/>
        </w:rPr>
        <w:t xml:space="preserve">path</w:t>
      </w:r>
      <w:r>
        <w:t xml:space="preserve"> </w:t>
      </w:r>
      <w:r>
        <w:t xml:space="preserve">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3048000" cy="35814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JPG" id="0" name="Picture"/>
                    <pic:cNvPicPr>
                      <a:picLocks noChangeArrowheads="1" noChangeAspect="1"/>
                    </pic:cNvPicPr>
                  </pic:nvPicPr>
                  <pic:blipFill>
                    <a:blip r:embed="rId32"/>
                    <a:stretch>
                      <a:fillRect/>
                    </a:stretch>
                  </pic:blipFill>
                  <pic:spPr bwMode="auto">
                    <a:xfrm>
                      <a:off x="0" y="0"/>
                      <a:ext cx="3048000" cy="35814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w:t>
      </w:r>
      <w:r>
        <w:t xml:space="preserve"> </w:t>
      </w:r>
      <w:r>
        <w:rPr>
          <w:i/>
        </w:rPr>
        <w:t xml:space="preserve">setwd()</w:t>
      </w:r>
      <w:r>
        <w:t xml:space="preserve"> </w:t>
      </w:r>
      <w:r>
        <w:t xml:space="preserve">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t xml:space="preserve"> </w:t>
      </w:r>
      <w:r>
        <w:t xml:space="preserve">(Figura</w:t>
      </w:r>
      <w:r>
        <w:t xml:space="preserve"> </w:t>
      </w:r>
      <w:r>
        <w:t xml:space="preserve">??</w:t>
      </w:r>
      <w:r>
        <w:t xml:space="preserve">), nela agora situa-se as pastas e arquivos da pasta que selecionamos e onde estará salvo nosso script quando o salvarmos.</w:t>
      </w:r>
    </w:p>
    <w:p>
      <w:pPr>
        <w:pStyle w:val="BodyText"/>
      </w:pPr>
      <w:r>
        <w:rPr>
          <w:b/>
        </w:rPr>
        <w:t xml:space="preserve">[INSERIR PRINT DA GUIA FILES APÓS A PASTA TER SIDO SELECIONADA]</w:t>
      </w:r>
    </w:p>
    <w:p>
      <w:pPr>
        <w:pStyle w:val="Heading3"/>
      </w:pPr>
      <w:bookmarkStart w:id="33" w:name="definir-ambiente-de-trabalho-via-interface-gráfica"/>
      <w:r>
        <w:t xml:space="preserve">2.1.2	Definir ambiente de trabalho via interface gráfica</w:t>
      </w:r>
      <w:bookmarkEnd w:id="33"/>
    </w:p>
    <w:p>
      <w:pPr>
        <w:pStyle w:val="FirstParagraph"/>
      </w:pPr>
      <w:r>
        <w:t xml:space="preserve">Inumeras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w:t>
      </w:r>
      <w:r>
        <w:t xml:space="preserve">) da mesma forma que a opção anterior a mesma janela irá aparecer (Figura</w:t>
      </w:r>
      <w:r>
        <w:t xml:space="preserve"> </w:t>
      </w:r>
      <w:r>
        <w:t xml:space="preserve">??</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w:t>
      </w:r>
      <w:r>
        <w:t xml:space="preserve">).</w:t>
      </w:r>
    </w:p>
    <w:p>
      <w:pPr>
        <w:pStyle w:val="BodyText"/>
      </w:pPr>
      <w:r>
        <w:rPr>
          <w:b/>
        </w:rPr>
        <w:t xml:space="preserve">[Inserir PRINT da janela ctrl shift h]</w:t>
      </w:r>
    </w:p>
    <w:p>
      <w:pPr>
        <w:pStyle w:val="BodyText"/>
      </w:pPr>
      <w:r>
        <w:rPr>
          <w:b/>
        </w:rPr>
        <w:t xml:space="preserve">[Inserir PRINT da janela session]</w:t>
      </w:r>
    </w:p>
    <w:p>
      <w:pPr>
        <w:pStyle w:val="BodyText"/>
      </w:pPr>
      <w:r>
        <w:rPr>
          <w:b/>
        </w:rPr>
        <w:t xml:space="preserve">[Inserir PRINT da janela files-guia]</w:t>
      </w:r>
    </w:p>
    <w:p>
      <w:pPr>
        <w:pStyle w:val="Heading3"/>
      </w:pPr>
      <w:bookmarkStart w:id="34" w:name="importar-planilha-via-linha-de-comando"/>
      <w:r>
        <w:t xml:space="preserve">2.1.3	Importar planilha via linha de comando:</w:t>
      </w:r>
      <w:bookmarkEnd w:id="34"/>
    </w:p>
    <w:p>
      <w:pPr>
        <w:pStyle w:val="FirstParagraph"/>
      </w:pPr>
      <w:r>
        <w:t xml:space="preserve">Primeiramente construa a planilha a seguir (Figura</w:t>
      </w:r>
      <w:r>
        <w:t xml:space="preserve"> </w:t>
      </w:r>
      <w:r>
        <w:t xml:space="preserve">??</w:t>
      </w:r>
      <w:r>
        <w:t xml:space="preserve">) no formato *.csv (usando vírgula como separador de colunas e ponto como separador decimal) e *.xlsx em um editor de planilhas, como excel, libreoffice calc ou outros e a salve com o nome de planilha.csv e planilha.xlsx no diretório que definiu previamente. A seguir faremos a importação desta planilha.</w:t>
      </w:r>
    </w:p>
    <w:p>
      <w:pPr>
        <w:pStyle w:val="BodyText"/>
      </w:pPr>
      <w:r>
        <w:rPr>
          <w:b/>
        </w:rPr>
        <w:t xml:space="preserve">[Inserir imagem da planilha csv]</w:t>
      </w:r>
    </w:p>
    <w:p>
      <w:pPr>
        <w:pStyle w:val="BodyText"/>
      </w:pPr>
      <w:r>
        <w:rPr>
          <w:b/>
        </w:rPr>
        <w:t xml:space="preserve">[Inserir imagem da planilha xlsx]</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35"/>
      </w:r>
      <w:r>
        <w:t xml:space="preserve"> </w:t>
      </w:r>
      <w:r>
        <w:t xml:space="preserve">que permita a realização desse processo. Um pacote que instalaremos aqui é o</w:t>
      </w:r>
      <w:r>
        <w:t xml:space="preserve"> </w:t>
      </w:r>
      <w:r>
        <w:rPr>
          <w:i/>
        </w:rPr>
        <w:t xml:space="preserve">readxl</w:t>
      </w:r>
      <w:r>
        <w:t xml:space="preserve">.</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resultado de importação - o arquivo presente no environment]</w:t>
      </w:r>
    </w:p>
    <w:p>
      <w:pPr>
        <w:pStyle w:val="Heading3"/>
      </w:pPr>
      <w:bookmarkStart w:id="36" w:name="importar-planilha-pela-via-interface-gráfica"/>
      <w:r>
        <w:t xml:space="preserve">2.1.4	Importar planilha pela via interface gráfica:</w:t>
      </w:r>
      <w:bookmarkEnd w:id="36"/>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w:t>
      </w:r>
      <w:r>
        <w:t xml:space="preserve">).</w:t>
      </w:r>
    </w:p>
    <w:p>
      <w:pPr>
        <w:pStyle w:val="BodyText"/>
      </w:pPr>
      <w:r>
        <w:t xml:space="preserve">Neste momento uma janela irá abrir (Figura</w:t>
      </w:r>
      <w:r>
        <w:t xml:space="preserve"> </w:t>
      </w:r>
      <w:r>
        <w:t xml:space="preserve">??</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havera algumas opções, 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w:t>
      </w:r>
      <w:r>
        <w:t xml:space="preserve"> </w:t>
      </w:r>
      <w:r>
        <w:rPr>
          <w:i/>
        </w:rPr>
        <w:t xml:space="preserve">View()</w:t>
      </w:r>
      <w:r>
        <w:t xml:space="preserve"> </w:t>
      </w:r>
      <w:r>
        <w:t xml:space="preserve">que veremos mais adiante, para desabilita-lo basta desmarcar a caixa ao lado de mesmonome. Conclua o processo clicando em</w:t>
      </w:r>
      <w:r>
        <w:t xml:space="preserve"> </w:t>
      </w:r>
      <w:r>
        <w:rPr>
          <w:i/>
        </w:rPr>
        <w:t xml:space="preserve">import</w:t>
      </w:r>
      <w:r>
        <w:t xml:space="preserve"> </w:t>
      </w:r>
      <w:r>
        <w:t xml:space="preserve">no canto inferior direito.</w:t>
      </w:r>
    </w:p>
    <w:p>
      <w:pPr>
        <w:pStyle w:val="BodyText"/>
      </w:pPr>
      <w:r>
        <w:rPr>
          <w:b/>
        </w:rPr>
        <w:t xml:space="preserve">[Inserir imagem do processo de importação via interface gráfica]</w:t>
      </w:r>
      <w:r>
        <w:t xml:space="preserve"> </w:t>
      </w:r>
      <w:r>
        <w:rPr>
          <w:b/>
        </w:rPr>
        <w:t xml:space="preserve">[Inserir imagem do processo de importação via interface gráfica janela com o arquivo]</w:t>
      </w:r>
    </w:p>
    <w:p>
      <w:pPr>
        <w:pStyle w:val="Heading2"/>
      </w:pPr>
      <w:bookmarkStart w:id="37" w:name="passo-ajustar-os-dados"/>
      <w:r>
        <w:t xml:space="preserve">2.2	2° passo: Ajustar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character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w:t>
      </w:r>
      <w:r>
        <w:t xml:space="preserve"> </w:t>
      </w:r>
      <w:r>
        <w:rPr>
          <w:i/>
        </w:rPr>
        <w:t xml:space="preserve">str()</w:t>
      </w:r>
      <w:r>
        <w:t xml:space="preserve"> </w:t>
      </w:r>
      <w:r>
        <w:t xml:space="preserve">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passo-sumarizar-os-dados-graficamente"/>
      <w:r>
        <w:t xml:space="preserve">2.3	3° passo: Sumarizar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2.3.1	HISTOGRAMAS</w:t>
      </w:r>
      <w:bookmarkEnd w:id="39"/>
    </w:p>
    <w:p>
      <w:pPr>
        <w:pStyle w:val="FirstParagraph"/>
      </w:pPr>
      <w:r>
        <w:t xml:space="preserve">A função</w:t>
      </w:r>
      <w:r>
        <w:t xml:space="preserve"> </w:t>
      </w:r>
      <w:r>
        <w:rPr>
          <w:i/>
        </w:rPr>
        <w:t xml:space="preserve">hist()</w:t>
      </w:r>
      <w:r>
        <w:t xml:space="preserve"> </w:t>
      </w:r>
      <w:r>
        <w:t xml:space="preserve">permite visualizar os valores da variável comprimento (Figura</w:t>
      </w:r>
      <w:r>
        <w:t xml:space="preserve"> </w:t>
      </w:r>
      <w:r>
        <w:t xml:space="preserve">2.2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2: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 (Figura</w:t>
      </w:r>
      <w:r>
        <w:t xml:space="preserve"> </w:t>
      </w:r>
      <w:r>
        <w:t xml:space="preserve">2.3</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3: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 Comprimento dos organismos da planilha dados com barras coloridas</w:t>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2.3.2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w:t>
      </w:r>
      <w:r>
        <w:t xml:space="preserve"> </w:t>
      </w:r>
      <w:r>
        <w:rPr>
          <w:i/>
        </w:rPr>
        <w:t xml:space="preserve">str()</w:t>
      </w:r>
      <w:r>
        <w:t xml:space="preserve">.</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(Figura</w:t>
      </w:r>
      <w:r>
        <w:t xml:space="preserve"> </w:t>
      </w:r>
      <w:r>
        <w:t xml:space="preserve">2.4</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4: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2.4: Gráfico de barras com número de indivíduos da planilha abundância por mês</w:t>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 (Figura</w:t>
      </w:r>
      <w:r>
        <w:t xml:space="preserve"> </w:t>
      </w:r>
      <w:r>
        <w:t xml:space="preserve">2.5</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5: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2.5: Gráfico de barras com número de indivíduos da planilha abundância por mês, com barras coloridas</w:t>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(Tabela</w:t>
      </w:r>
      <w:r>
        <w:t xml:space="preserve"> </w:t>
      </w:r>
      <w:r>
        <w:t xml:space="preserve">2.1</w:t>
      </w:r>
      <w:r>
        <w:t xml:space="preserve">).</w:t>
      </w:r>
    </w:p>
    <w:p>
      <w:pPr>
        <w:pStyle w:val="Compact"/>
      </w:pPr>
      <w:r>
        <w:t xml:space="preserve">Tabela 2.1: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2.3.3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 (Figura</w:t>
      </w:r>
      <w:r>
        <w:t xml:space="preserve"> </w:t>
      </w:r>
      <w:r>
        <w:t xml:space="preserve">2.6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6: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2.6: Representação gráfica do número de indivíduos por mês em pontos</w:t>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 (Figura</w:t>
      </w:r>
      <w:r>
        <w:t xml:space="preserve"> </w:t>
      </w:r>
      <w:r>
        <w:t xml:space="preserve">2.7</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7: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2.7: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2.3.4	BOXPLOT</w:t>
      </w:r>
      <w:bookmarkEnd w:id="48"/>
    </w:p>
    <w:p>
      <w:pPr>
        <w:pStyle w:val="FirstParagraph"/>
      </w:pPr>
      <w:r>
        <w:t xml:space="preserve">Vamos voltar a nossa primeira planilha (dados) e executar um gráfico do tipo boxplot (Figura</w:t>
      </w:r>
      <w:r>
        <w:t xml:space="preserve"> </w:t>
      </w:r>
      <w:r>
        <w:t xml:space="preserve">2.8</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8: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2.8: Gráfico tipo boxplot do comprimento por ano, da planilha dados</w:t>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2.9</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9: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2.9: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passo-sumarizar-os-dados-numericamente"/>
      <w:r>
        <w:t xml:space="preserve">2.4	4° passo: Sumarizar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w:t>
      </w:r>
      <w:r>
        <w:t xml:space="preserve"> </w:t>
      </w:r>
      <w:r>
        <w:rPr>
          <w:i/>
        </w:rPr>
        <w:t xml:space="preserve">summary()</w:t>
      </w:r>
      <w:r>
        <w:t xml:space="preserve"> </w:t>
      </w:r>
      <w:r>
        <w:t xml:space="preserve">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w:t>
      </w:r>
      <w:r>
        <w:t xml:space="preserve"> </w:t>
      </w:r>
      <w:r>
        <w:rPr>
          <w:i/>
        </w:rPr>
        <w:t xml:space="preserve">length()</w:t>
      </w:r>
      <w:r>
        <w:t xml:space="preserve"> </w:t>
      </w:r>
      <w:r>
        <w:t xml:space="preserve">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Eleve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Divida a soma dos valores da diferença elevado ao quadrado pelo número de observações menos 1.</w:t>
      </w:r>
    </w:p>
    <w:p>
      <w:pPr>
        <w:pStyle w:val="Compact"/>
        <w:numPr>
          <w:numId w:val="1010"/>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w:t>
      </w:r>
      <w:r>
        <w:t xml:space="preserve"> </w:t>
      </w:r>
      <w:r>
        <w:rPr>
          <w:i/>
        </w:rPr>
        <w:t xml:space="preserve">Rmisc</w:t>
      </w:r>
      <w:r>
        <w:t xml:space="preserve">.</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2.10</w:t>
      </w:r>
      <w:r>
        <w:t xml:space="preserve">).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0: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Gráfico de barras com erro padrão do comprimento por ano e local, da planilha resultado (derivada da planilha dados)</w:t>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w:t>
      </w:r>
      <w:r>
        <w:t xml:space="preserve"> </w:t>
      </w:r>
      <w:r>
        <w:rPr>
          <w:i/>
        </w:rPr>
        <w:t xml:space="preserve">barplot()</w:t>
      </w:r>
      <w:r>
        <w:t xml:space="preserve"> </w:t>
      </w:r>
      <w:r>
        <w:t xml:space="preserve">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2.11</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11: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Heading1"/>
      </w:pPr>
      <w:bookmarkStart w:id="54" w:name="qui-quadrado-χ"/>
      <w:r>
        <w:t xml:space="preserve">3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3.1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0.07146</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3.2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4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4.1	Teste-t para uma amostra</w:t>
      </w:r>
      <w:bookmarkEnd w:id="59"/>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65" w:name="teste-t-para-duas-amostras"/>
      <w:r>
        <w:t xml:space="preserve">4.2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4.3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81" w:name="final-words"/>
      <w:r>
        <w:t xml:space="preserve">5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Local onde você irá escrever o código para execução de uma determinada tarefa</w:t>
      </w:r>
    </w:p>
  </w:footnote>
  <w:footnote w:id="35">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hyperlink" Id="rId28"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8"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2020-11-19T19:01:53Z</dcterms:created>
  <dcterms:modified xsi:type="dcterms:W3CDTF">2020-11-19T19:01:53Z</dcterms:modified>
</cp:coreProperties>
</file>