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9.png" ContentType="image/png"/>
  <Override PartName="/word/media/rId80.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Override PartName="/word/media/rId57.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2020-11-11</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importação de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Para isso vamos aplicar a função</w:t>
      </w:r>
      <w:r>
        <w:t xml:space="preserve"> </w:t>
      </w:r>
      <w:r>
        <w:rPr>
          <w:i/>
        </w:rPr>
        <w:t xml:space="preserve">hist()</w:t>
      </w:r>
      <w:r>
        <w:t xml:space="preserve"> </w:t>
      </w:r>
      <w:r>
        <w:t xml:space="preserve">para visualizar os valores da variável comprimento.</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ver tabela abaixo.</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c()</w:t>
      </w:r>
    </w:p>
    <w:p>
      <w:pPr>
        <w:pStyle w:val="Compact"/>
      </w:pPr>
      <w:r>
        <w:t xml:space="preserve">É usada quando se deseja unir 2 ou mais objetos em um vetor, no exemplo acima ela foi usada para concatenar os valores 0 e 200, que indicam os limites mínimo e máximo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um gráfico de linha foi plotado e o resultado deste indica o memso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2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4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4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0.05897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6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comparar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6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dados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(dados)</w:t>
      </w:r>
    </w:p>
    <w:p>
      <w:pPr>
        <w:pStyle w:val="SourceCode"/>
      </w:pPr>
      <w:r>
        <w:rPr>
          <w:rStyle w:val="VerbatimChar"/>
        </w:rPr>
        <w:t xml:space="preserve">## [1] 0.8479302</w:t>
      </w:r>
    </w:p>
    <w:p>
      <w:pPr>
        <w:pStyle w:val="SourceCode"/>
      </w:pPr>
      <w:r>
        <w:rPr>
          <w:rStyle w:val="KeywordTok"/>
        </w:rPr>
        <w:t xml:space="preserve">min</w:t>
      </w:r>
      <w:r>
        <w:rPr>
          <w:rStyle w:val="NormalTok"/>
        </w:rPr>
        <w:t xml:space="preserve">(dados)</w:t>
      </w:r>
    </w:p>
    <w:p>
      <w:pPr>
        <w:pStyle w:val="SourceCode"/>
      </w:pPr>
      <w:r>
        <w:rPr>
          <w:rStyle w:val="VerbatimChar"/>
        </w:rPr>
        <w:t xml:space="preserve">## [1] 0.387487</w:t>
      </w:r>
    </w:p>
    <w:p>
      <w:pPr>
        <w:pStyle w:val="SourceCode"/>
      </w:pPr>
      <w:r>
        <w:rPr>
          <w:rStyle w:val="KeywordTok"/>
        </w:rPr>
        <w:t xml:space="preserve">max</w:t>
      </w:r>
      <w:r>
        <w:rPr>
          <w:rStyle w:val="NormalTok"/>
        </w:rPr>
        <w:t xml:space="preserve">(dados)</w:t>
      </w:r>
    </w:p>
    <w:p>
      <w:pPr>
        <w:pStyle w:val="SourceCode"/>
      </w:pPr>
      <w:r>
        <w:rPr>
          <w:rStyle w:val="VerbatimChar"/>
        </w:rPr>
        <w:t xml:space="preserve">## [1] 1.290766</w:t>
      </w:r>
    </w:p>
    <w:p>
      <w:pPr>
        <w:pStyle w:val="SourceCode"/>
      </w:pPr>
      <w:r>
        <w:rPr>
          <w:rStyle w:val="KeywordTok"/>
        </w:rPr>
        <w:t xml:space="preserve">length</w:t>
      </w:r>
      <w:r>
        <w:rPr>
          <w:rStyle w:val="NormalTok"/>
        </w:rPr>
        <w:t xml:space="preserve">(dados)</w:t>
      </w:r>
    </w:p>
    <w:p>
      <w:pPr>
        <w:pStyle w:val="SourceCode"/>
      </w:pPr>
      <w:r>
        <w:rPr>
          <w:rStyle w:val="VerbatimChar"/>
        </w:rPr>
        <w:t xml:space="preserve">## [1] 100</w:t>
      </w:r>
    </w:p>
    <w:p>
      <w:pPr>
        <w:pStyle w:val="SourceCode"/>
      </w:pPr>
      <w:r>
        <w:rPr>
          <w:rStyle w:val="KeywordTok"/>
        </w:rPr>
        <w:t xml:space="preserve">hist</w:t>
      </w:r>
      <w:r>
        <w:rPr>
          <w:rStyle w:val="NormalTok"/>
        </w:rPr>
        <w:t xml:space="preserve">(dados)</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6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Conforme também fizemos anteriormente calculamos algumas métricas para entender os dados e um histograma básico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zona de rejeição da hipótese nula, se aumentarmos o seu valor fica mais dificil rejeitarmos a hipótese nula e se diminuirmos o seu valor fica mais fácil rejeitar a hipótese nula. Vejamos um outro exemplo.</w:t>
      </w:r>
    </w:p>
    <w:p>
      <w:pPr>
        <w:pStyle w:val="BodyText"/>
      </w:pPr>
      <w:r>
        <w:t xml:space="preserve">Imagine o seguinte exemplo: Um pesquisador avaliou o tamanho das cracas incrustadas no casco de uma embarcação. Objetivando saber se o tamanho médio de bivalves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 algumas métricas estatśticas e grafica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dados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(dados)</w:t>
      </w:r>
    </w:p>
    <w:p>
      <w:pPr>
        <w:pStyle w:val="SourceCode"/>
      </w:pPr>
      <w:r>
        <w:rPr>
          <w:rStyle w:val="VerbatimChar"/>
        </w:rPr>
        <w:t xml:space="preserve">## [1] 14.72583</w:t>
      </w:r>
    </w:p>
    <w:p>
      <w:pPr>
        <w:pStyle w:val="SourceCode"/>
      </w:pPr>
      <w:r>
        <w:rPr>
          <w:rStyle w:val="KeywordTok"/>
        </w:rPr>
        <w:t xml:space="preserve">min</w:t>
      </w:r>
      <w:r>
        <w:rPr>
          <w:rStyle w:val="NormalTok"/>
        </w:rPr>
        <w:t xml:space="preserve">(dados)</w:t>
      </w:r>
    </w:p>
    <w:p>
      <w:pPr>
        <w:pStyle w:val="SourceCode"/>
      </w:pPr>
      <w:r>
        <w:rPr>
          <w:rStyle w:val="VerbatimChar"/>
        </w:rPr>
        <w:t xml:space="preserve">## [1] 3.596275</w:t>
      </w:r>
    </w:p>
    <w:p>
      <w:pPr>
        <w:pStyle w:val="SourceCode"/>
      </w:pPr>
      <w:r>
        <w:rPr>
          <w:rStyle w:val="KeywordTok"/>
        </w:rPr>
        <w:t xml:space="preserve">max</w:t>
      </w:r>
      <w:r>
        <w:rPr>
          <w:rStyle w:val="NormalTok"/>
        </w:rPr>
        <w:t xml:space="preserve">(dados)</w:t>
      </w:r>
    </w:p>
    <w:p>
      <w:pPr>
        <w:pStyle w:val="SourceCode"/>
      </w:pPr>
      <w:r>
        <w:rPr>
          <w:rStyle w:val="VerbatimChar"/>
        </w:rPr>
        <w:t xml:space="preserve">## [1] 27.27792</w:t>
      </w:r>
    </w:p>
    <w:p>
      <w:pPr>
        <w:pStyle w:val="SourceCode"/>
      </w:pPr>
      <w:r>
        <w:rPr>
          <w:rStyle w:val="KeywordTok"/>
        </w:rPr>
        <w:t xml:space="preserve">length</w:t>
      </w:r>
      <w:r>
        <w:rPr>
          <w:rStyle w:val="NormalTok"/>
        </w:rPr>
        <w:t xml:space="preserve">(dados)</w:t>
      </w:r>
    </w:p>
    <w:p>
      <w:pPr>
        <w:pStyle w:val="SourceCode"/>
      </w:pPr>
      <w:r>
        <w:rPr>
          <w:rStyle w:val="VerbatimChar"/>
        </w:rPr>
        <w:t xml:space="preserve">## [1] 100</w:t>
      </w:r>
    </w:p>
    <w:p>
      <w:pPr>
        <w:pStyle w:val="SourceCode"/>
      </w:pPr>
      <w:r>
        <w:rPr>
          <w:rStyle w:val="KeywordTok"/>
        </w:rPr>
        <w:t xml:space="preserve">hist</w:t>
      </w:r>
      <w:r>
        <w:rPr>
          <w:rStyle w:val="NormalTok"/>
        </w:rPr>
        <w:t xml:space="preserve">(dados)</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Agora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w:t>
      </w:r>
      <w:r>
        <w:t xml:space="preserve"> </w:t>
      </w:r>
      <w:r>
        <w:t xml:space="preserve">“</w:t>
      </w:r>
      <w:r>
        <w:t xml:space="preserve">default</w:t>
      </w:r>
      <w:r>
        <w:t xml:space="preserve">”</w:t>
      </w:r>
      <w:r>
        <w:t xml:space="preserve"> </w:t>
      </w:r>
      <w:r>
        <w:t xml:space="preserve">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4-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Verifique que esses plots nos fornecem as curvas do teste-t aos níveis de confiança de 95% e 99%, demarca os limites inferior e superior de vermelho e marca como ponto azul na curva de densidade o valor do teste-t associado. Como esse valor está dentro da região demarcada no nível de confiança de 95%, neste caso rejeitamos a hipótese nula e como no nível de confança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interpretamos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deve-se ao fato da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 gastropode 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CommentTok"/>
        </w:rPr>
        <w:t xml:space="preserve">## par(mfrow = c(2, 1))</w:t>
      </w:r>
      <w:r>
        <w:br w:type="textWrapping"/>
      </w:r>
      <w:r>
        <w:br w:type="textWrapping"/>
      </w: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7-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par(mfrow = c(1, 1))</w:t>
      </w:r>
      <w:r>
        <w:br w:type="textWrapping"/>
      </w: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Os 5 comandos acima realizam: a divisão da janela gráfica em 2 linhas e 1 coluna, o histograma dos dados para Alimento A, o histograma dos dados para Alimento B, a divisão da janela gráfica em 1 linha e 1 coluna e o boxplot para ambos os dados, respectivamente.</w:t>
      </w:r>
    </w:p>
    <w:p>
      <w:pPr>
        <w:pStyle w:val="BodyText"/>
      </w:pPr>
      <w:r>
        <w:t xml:space="preserve">A função</w:t>
      </w:r>
      <w:r>
        <w:t xml:space="preserve"> </w:t>
      </w:r>
      <w:r>
        <w:rPr>
          <w:i/>
        </w:rPr>
        <w:t xml:space="preserve">par()</w:t>
      </w:r>
      <w:r>
        <w:t xml:space="preserve"> </w:t>
      </w:r>
      <w:r>
        <w:t xml:space="preserve">com o argumento</w:t>
      </w:r>
      <w:r>
        <w:t xml:space="preserve"> </w:t>
      </w:r>
      <w:r>
        <w:t xml:space="preserve">“</w:t>
      </w:r>
      <w:r>
        <w:t xml:space="preserve">mfrow</w:t>
      </w:r>
      <w:r>
        <w:t xml:space="preserve">”</w:t>
      </w:r>
      <w:r>
        <w:t xml:space="preserve"> </w:t>
      </w:r>
      <w:r>
        <w:t xml:space="preserve">e a função c(2, 1) com os valores 2 e 1 divide a janela gráfica em 2 linhas e 1 coluna. Caso queira retornar ao padrão normal basta limpar a janela gráfica clicando no ícone que parece uma vassoura acima dos gráficos (mas isso limpará todos os gráficos anteriores) ou então utilizar a função</w:t>
      </w:r>
      <w:r>
        <w:t xml:space="preserve"> </w:t>
      </w:r>
      <w:r>
        <w:rPr>
          <w:i/>
        </w:rPr>
        <w:t xml:space="preserve">par()</w:t>
      </w:r>
      <w:r>
        <w:t xml:space="preserve"> </w:t>
      </w:r>
      <w:r>
        <w:t xml:space="preserve">e</w:t>
      </w:r>
      <w:r>
        <w:t xml:space="preserve"> </w:t>
      </w:r>
      <w:r>
        <w:t xml:space="preserve">“</w:t>
      </w:r>
      <w:r>
        <w:t xml:space="preserve">re</w:t>
      </w:r>
      <w:r>
        <w:t xml:space="preserve">”</w:t>
      </w:r>
      <w:r>
        <w:t xml:space="preserve">dividir a janela gráfica em 1 linha e 1 coluna</w:t>
      </w:r>
      <w:r>
        <w:t xml:space="preserve"> </w:t>
      </w:r>
      <w:r>
        <w:t xml:space="preserve">“</w:t>
      </w:r>
      <w:r>
        <w:t xml:space="preserve">par(mfrow = c(1, 1))</w:t>
      </w:r>
      <w:r>
        <w:t xml:space="preserve">”</w:t>
      </w:r>
      <w:r>
        <w:t xml:space="preserve">.</w:t>
      </w:r>
    </w:p>
    <w:p>
      <w:pPr>
        <w:pStyle w:val="BodyText"/>
      </w:pPr>
      <w:r>
        <w:t xml:space="preserve">Os 2 gráficos, após a divisão da janela em 2 linhas e 1 coluna,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são já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2.2</m:t>
        </m:r>
        <m:r>
          <m:t>×</m:t>
        </m:r>
        <m:sSup>
          <m:e>
            <m:r>
              <m:t>10</m:t>
            </m:r>
          </m:e>
          <m:sup>
            <m:r>
              <m:t>−</m:t>
            </m:r>
            <m:r>
              <m:t>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Neste gráfico podemos ver que o resultado do teste-t, indicado pelo ponto azul, está muito além do nível da zona de rejeição, indicando que os dois grupos apresentam médias bem diferentes em outras palavras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grafica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CommentTok"/>
        </w:rPr>
        <w:t xml:space="preserve">## par(mfrow = c(2, 1))</w:t>
      </w:r>
      <w:r>
        <w:br w:type="textWrapping"/>
      </w:r>
      <w:r>
        <w:br w:type="textWrapping"/>
      </w: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6-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6-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 verificar a análise gráfica não diferiu do que fizemos no exemplo anterior.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grafica e estatitiscamente</w:t>
      </w:r>
    </w:p>
    <w:p>
      <w:pPr>
        <w:pStyle w:val="SourceCode"/>
      </w:pPr>
      <w:r>
        <w:rPr>
          <w:rStyle w:val="CommentTok"/>
        </w:rPr>
        <w:t xml:space="preserve">## par(mfrow = c(2, 1))</w:t>
      </w:r>
      <w:r>
        <w:br w:type="textWrapping"/>
      </w:r>
      <w:r>
        <w:br w:type="textWrapping"/>
      </w: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4-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devido a mudança na forma da planilha tivemos que escrever o boxplot de maneira diferente, onde não mais utilizamos o til (~), mas inserimos o nome da planilha mais 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0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01-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comando gráficos acima estamos indicando que faremos um gráfico de barras, onde o que será plotado é a diferença no número de observação de aves entre observadores,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 mtext().</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0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 ver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 text indica o que será plotado e side indica o lado da janela gráfica onde o texto será plotado (3 é na parte superior e 1 na inferior).</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2020-11-12T02:44:59Z</dcterms:created>
  <dcterms:modified xsi:type="dcterms:W3CDTF">2020-11-12T02:44:59Z</dcterms:modified>
</cp:coreProperties>
</file>