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2.png" ContentType="image/png"/>
  <Override PartName="/word/media/rId51.png" ContentType="image/png"/>
  <Override PartName="/word/media/rId33.png" ContentType="image/png"/>
  <Override PartName="/word/media/rId34.png" ContentType="image/png"/>
  <Override PartName="/word/media/rId37.png" ContentType="image/png"/>
  <Override PartName="/word/media/rId40.png" ContentType="image/png"/>
  <Override PartName="/word/media/rId35.png" ContentType="image/png"/>
  <Override PartName="/word/media/rId54.png" ContentType="image/png"/>
  <Override PartName="/word/media/rId53.png" ContentType="image/png"/>
  <Override PartName="/word/media/rId38.png" ContentType="image/png"/>
  <Override PartName="/word/media/rId48.png" ContentType="image/png"/>
  <Override PartName="/word/media/rId49.png" ContentType="image/png"/>
  <Override PartName="/word/media/rId39.png" ContentType="image/png"/>
  <Override PartName="/word/media/rId75.png" ContentType="image/png"/>
  <Override PartName="/word/media/rId82.png" ContentType="image/png"/>
  <Override PartName="/word/media/rId32.png" ContentType="image/png"/>
  <Override PartName="/word/media/rId44.png" ContentType="image/png"/>
  <Override PartName="/word/media/rId63.png" ContentType="image/png"/>
  <Override PartName="/word/media/rId64.png" ContentType="image/png"/>
  <Override PartName="/word/media/rId104.png" ContentType="image/png"/>
  <Override PartName="/word/media/rId105.png" ContentType="image/png"/>
  <Override PartName="/word/media/rId72.png" ContentType="image/png"/>
  <Override PartName="/word/media/rId73.png" ContentType="image/png"/>
  <Override PartName="/word/media/rId80.png" ContentType="image/png"/>
  <Override PartName="/word/media/rId93.png" ContentType="image/png"/>
  <Override PartName="/word/media/rId69.png" ContentType="image/png"/>
  <Override PartName="/word/media/rId70.png" ContentType="image/png"/>
  <Override PartName="/word/media/rId102.png" ContentType="image/png"/>
  <Override PartName="/word/media/rId97.png" ContentType="image/png"/>
  <Override PartName="/word/media/rId59.png" ContentType="image/png"/>
  <Override PartName="/word/media/rId60.png" ContentType="image/png"/>
  <Override PartName="/word/media/rId87.png" ContentType="image/png"/>
  <Override PartName="/word/media/rId88.png" ContentType="image/png"/>
  <Override PartName="/word/media/rId89.png" ContentType="image/png"/>
  <Override PartName="/word/media/rId86.png" ContentType="image/png"/>
  <Override PartName="/word/media/rId91.png" ContentType="image/png"/>
  <Override PartName="/word/media/rId92.png" ContentType="image/png"/>
  <Override PartName="/word/media/rId100.png" ContentType="image/png"/>
  <Override PartName="/word/media/rId101.png" ContentType="image/png"/>
  <Override PartName="/word/media/rId85.png" ContentType="image/png"/>
  <Override PartName="/word/media/rId95.png" ContentType="image/png"/>
  <Override PartName="/word/media/rId96.png" ContentType="image/png"/>
  <Override PartName="/word/media/rId67.png" ContentType="image/png"/>
  <Override PartName="/word/media/rId66.png" ContentType="image/png"/>
  <Override PartName="/word/media/rId94.png" ContentType="image/png"/>
  <Override PartName="/word/media/rId98.png" ContentType="image/png"/>
  <Override PartName="/word/media/rId10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r>
        <w:t xml:space="preserve"> </w:t>
      </w:r>
      <w:r>
        <w:t xml:space="preserve">e</w:t>
      </w:r>
      <w:r>
        <w:t xml:space="preserve"> </w:t>
      </w:r>
      <w:r>
        <w:t xml:space="preserve">ecológica</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2020-12-05</w:t>
      </w:r>
    </w:p>
    <w:p>
      <w:pPr>
        <w:pStyle w:val="Heading1"/>
      </w:pPr>
      <w:bookmarkStart w:id="20" w:name="prefácio"/>
      <w:r>
        <w:t xml:space="preserve">Prefácio</w:t>
      </w:r>
      <w:bookmarkEnd w:id="20"/>
    </w:p>
    <w:p>
      <w:pPr>
        <w:pStyle w:val="FirstParagraph"/>
      </w:pPr>
      <w:r>
        <w:t xml:space="preserve">Alguém irá escrever! Mas quem?</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de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w:t>
      </w:r>
    </w:p>
    <w:p>
      <w:pPr>
        <w:pStyle w:val="BodyText"/>
      </w:pPr>
      <w:r>
        <w:t xml:space="preserve">Para mais informações acesse:</w:t>
      </w:r>
      <w:r>
        <w:t xml:space="preserve"> </w:t>
      </w:r>
      <w:hyperlink r:id="rId24">
        <w:r>
          <w:rPr>
            <w:rStyle w:val="Hyperlink"/>
          </w:rPr>
          <w:t xml:space="preserve">https://www.r-project.org/about.html</w:t>
        </w:r>
      </w:hyperlink>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4064000" cy="4775200"/>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docs/livroR-1.0_files/figures%20print/RStudio.png" id="0" name="Picture"/>
                    <pic:cNvPicPr>
                      <a:picLocks noChangeArrowheads="1" noChangeAspect="1"/>
                    </pic:cNvPicPr>
                  </pic:nvPicPr>
                  <pic:blipFill>
                    <a:blip r:embed="rId30"/>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FirstParagraph"/>
      </w:pPr>
      <w:r>
        <w:rPr>
          <w:b/>
        </w:rPr>
        <w:t xml:space="preserve">MOSTRAR UMA FIGURA DO SCRIPT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aptionedFigure"/>
      </w:pPr>
      <w:r>
        <w:drawing>
          <wp:inline>
            <wp:extent cx="5334000" cy="2456908"/>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docs/livroR-1.0_files/figures%20print/script.png" id="0" name="Picture"/>
                    <pic:cNvPicPr>
                      <a:picLocks noChangeArrowheads="1" noChangeAspect="1"/>
                    </pic:cNvPicPr>
                  </pic:nvPicPr>
                  <pic:blipFill>
                    <a:blip r:embed="rId32"/>
                    <a:stretch>
                      <a:fillRect/>
                    </a:stretch>
                  </pic:blipFill>
                  <pic:spPr bwMode="auto">
                    <a:xfrm>
                      <a:off x="0" y="0"/>
                      <a:ext cx="5334000" cy="2456908"/>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4064000" cy="4775200"/>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docs/livroR-1.0_files/figures%20print/console.png" id="0" name="Picture"/>
                    <pic:cNvPicPr>
                      <a:picLocks noChangeArrowheads="1" noChangeAspect="1"/>
                    </pic:cNvPicPr>
                  </pic:nvPicPr>
                  <pic:blipFill>
                    <a:blip r:embed="rId33"/>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BodyText"/>
      </w:pPr>
      <w:r>
        <w:rPr>
          <w:b/>
        </w:rPr>
        <w:t xml:space="preserve">MOSTRAR UMA FIGURA DO CONSOLE COM UMA LINHA ESCRITO:</w:t>
      </w:r>
      <w:r>
        <w:rPr>
          <w:b/>
        </w:rPr>
        <w:t xml:space="preserve"> </w:t>
      </w:r>
      <w:r>
        <w:rPr>
          <w:b/>
        </w:rPr>
        <w:t xml:space="preserve">“</w:t>
      </w:r>
      <w:r>
        <w:rPr>
          <w:b/>
        </w:rPr>
        <w:t xml:space="preserve">OLÁ MUNDO</w:t>
      </w:r>
      <w:r>
        <w:rPr>
          <w:b/>
        </w:rPr>
        <w:t xml:space="preserve">”</w:t>
      </w:r>
      <w:r>
        <w:rPr>
          <w:b/>
        </w:rPr>
        <w:t xml:space="preserve">; UMA SEGUNDA LINHA ESCRITO: 1 + 2; UMA TERCEIRA LINHA ESCRITO: SOMA &lt;- 1 + 2; UMA QUARTA LINHA ESCRITO: # NESTE AMBIENTE ESREVEMOS NOSSO CÓDIGO E COMENTÁRIOS</w:t>
      </w:r>
      <w:r>
        <w:t xml:space="preserve"> </w:t>
      </w:r>
      <w:r>
        <w:t xml:space="preserve">Vamos indicar na legenda da figura isto que está escrito em negrito aqui.</w:t>
      </w:r>
    </w:p>
    <w:p>
      <w:pPr>
        <w:pStyle w:val="Compact"/>
        <w:numPr>
          <w:numId w:val="1003"/>
          <w:ilvl w:val="0"/>
        </w:numPr>
      </w:pPr>
      <w:r>
        <w:rPr>
          <w:i/>
        </w:rPr>
        <w:t xml:space="preserve">Environment</w:t>
      </w:r>
      <w:r>
        <w:t xml:space="preserve">: Guia que indica os objetos e funções criadas. (Figura</w:t>
      </w:r>
      <w:r>
        <w:t xml:space="preserve"> </w:t>
      </w:r>
      <w:r>
        <w:t xml:space="preserve">1.4</w:t>
      </w:r>
      <w:r>
        <w:t xml:space="preserve">);</w:t>
      </w:r>
    </w:p>
    <w:p>
      <w:pPr>
        <w:pStyle w:val="CaptionedFigure"/>
      </w:pPr>
      <w:r>
        <w:drawing>
          <wp:inline>
            <wp:extent cx="4292867" cy="2156058"/>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docs/livroR-1.0_files/figures%20print/environment.png" id="0" name="Picture"/>
                    <pic:cNvPicPr>
                      <a:picLocks noChangeArrowheads="1" noChangeAspect="1"/>
                    </pic:cNvPicPr>
                  </pic:nvPicPr>
                  <pic:blipFill>
                    <a:blip r:embed="rId34"/>
                    <a:stretch>
                      <a:fillRect/>
                    </a:stretch>
                  </pic:blipFill>
                  <pic:spPr bwMode="auto">
                    <a:xfrm>
                      <a:off x="0" y="0"/>
                      <a:ext cx="4292867" cy="2156058"/>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BodyText"/>
      </w:pPr>
      <w:r>
        <w:rPr>
          <w:b/>
        </w:rPr>
        <w:t xml:space="preserve">MOSTRAR UMA FIGURA DO ENVIRONMENT COM ALGUNS OBJETOS: UM DATA FRAME, UM OBJETO COM UM ITEM E UM OBJETO COM VÁRIOS VALORES</w:t>
      </w:r>
      <w:r>
        <w:t xml:space="preserve"> </w:t>
      </w:r>
      <w:r>
        <w:t xml:space="preserve">Vamos indicar na legenda da figura isto que está escrito em negrito aqui.</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292867" cy="2146433"/>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docs/livroR-1.0_files/figures%20print/history.png" id="0" name="Picture"/>
                    <pic:cNvPicPr>
                      <a:picLocks noChangeArrowheads="1" noChangeAspect="1"/>
                    </pic:cNvPicPr>
                  </pic:nvPicPr>
                  <pic:blipFill>
                    <a:blip r:embed="rId35"/>
                    <a:stretch>
                      <a:fillRect/>
                    </a:stretch>
                  </pic:blipFill>
                  <pic:spPr bwMode="auto">
                    <a:xfrm>
                      <a:off x="0" y="0"/>
                      <a:ext cx="4292867" cy="2146433"/>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BodyText"/>
      </w:pPr>
      <w:r>
        <w:rPr>
          <w:b/>
        </w:rPr>
        <w:t xml:space="preserve">MOSTRAR UMA FIGURA DO HISTORY COM OS COMANDOS EXECUTADOS NOS TÓPICOS ACIMA</w:t>
      </w:r>
      <w:r>
        <w:t xml:space="preserve"> </w:t>
      </w:r>
      <w:r>
        <w:t xml:space="preserve">Vamos indicar na legenda da figura isto que está escrito em negrito aqui.</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6"/>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77364"/>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BodyText"/>
      </w:pPr>
      <w:r>
        <w:rPr>
          <w:b/>
        </w:rPr>
        <w:t xml:space="preserve">MOSTRAR UMA FIGURA DO FILES COM A GUIA DO DESKTOP MOSTRANDO OS ICONES BÁSICOS</w:t>
      </w:r>
      <w:r>
        <w:t xml:space="preserve"> </w:t>
      </w:r>
      <w:r>
        <w:t xml:space="preserve">Vamos indicar na legenda da figura isto que está escrito em negrito aqui.</w:t>
      </w:r>
    </w:p>
    <w:p>
      <w:pPr>
        <w:pStyle w:val="Compact"/>
        <w:numPr>
          <w:numId w:val="1006"/>
          <w:ilvl w:val="0"/>
        </w:numPr>
      </w:pPr>
      <w:r>
        <w:rPr>
          <w:i/>
        </w:rPr>
        <w:t xml:space="preserve">Packages</w:t>
      </w:r>
      <w:r>
        <w:t xml:space="preserve">: Guia destinada a visualização, instalação e carregamento dos pacotes/bibliotecas do R (Figura</w:t>
      </w:r>
      <w:r>
        <w:t xml:space="preserve"> </w:t>
      </w:r>
      <w:r>
        <w:t xml:space="preserve">1.7</w:t>
      </w:r>
      <w:r>
        <w:t xml:space="preserve">);</w:t>
      </w:r>
    </w:p>
    <w:p>
      <w:pPr>
        <w:pStyle w:val="CaptionedFigure"/>
      </w:pPr>
      <w:r>
        <w:drawing>
          <wp:inline>
            <wp:extent cx="4312117" cy="4158113"/>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docs/livroR-1.0_files/figures%20print/packages.png" id="0" name="Picture"/>
                    <pic:cNvPicPr>
                      <a:picLocks noChangeArrowheads="1" noChangeAspect="1"/>
                    </pic:cNvPicPr>
                  </pic:nvPicPr>
                  <pic:blipFill>
                    <a:blip r:embed="rId38"/>
                    <a:stretch>
                      <a:fillRect/>
                    </a:stretch>
                  </pic:blipFill>
                  <pic:spPr bwMode="auto">
                    <a:xfrm>
                      <a:off x="0" y="0"/>
                      <a:ext cx="4312117" cy="4158113"/>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(Figura</w:t>
      </w:r>
      <w:r>
        <w:t xml:space="preserve"> </w:t>
      </w:r>
      <w:r>
        <w:t xml:space="preserve">1.8</w:t>
      </w:r>
      <w:r>
        <w:t xml:space="preserve">);</w:t>
      </w:r>
    </w:p>
    <w:p>
      <w:pPr>
        <w:pStyle w:val="CaptionedFigure"/>
      </w:pPr>
      <w:r>
        <w:drawing>
          <wp:inline>
            <wp:extent cx="4312117" cy="4167738"/>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docs/livroR-1.0_files/figures%20print/plot.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docs/livroR-1.0_files/figures%20print/help.png" id="0" name="Picture"/>
                    <pic:cNvPicPr>
                      <a:picLocks noChangeArrowheads="1" noChangeAspect="1"/>
                    </pic:cNvPicPr>
                  </pic:nvPicPr>
                  <pic:blipFill>
                    <a:blip r:embed="rId40"/>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1" w:name="importar-organizar-e-sumarizar-os-dados"/>
      <w:r>
        <w:t xml:space="preserve">2	Importar, organizar e sumarizar os dados</w:t>
      </w:r>
      <w:bookmarkEnd w:id="41"/>
    </w:p>
    <w:p>
      <w:pPr>
        <w:pStyle w:val="Heading2"/>
      </w:pPr>
      <w:bookmarkStart w:id="42" w:name="passo-definir-o-ambiente-de-trabalho-e-importar-a-planilha-de-dados-para-o-r"/>
      <w:r>
        <w:t xml:space="preserve">2.1	1° passo: Definir o ambiente de trabalho e importar a planilha de dados para o R</w:t>
      </w:r>
      <w:bookmarkEnd w:id="42"/>
    </w:p>
    <w:p>
      <w:pPr>
        <w:pStyle w:val="FirstParagraph"/>
      </w:pPr>
      <w:r>
        <w:t xml:space="preserve">Ao se trabalhar com R a primeira pergunta que nos vem a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w:t>
      </w:r>
    </w:p>
    <w:p>
      <w:pPr>
        <w:pStyle w:val="Heading3"/>
      </w:pPr>
      <w:bookmarkStart w:id="43" w:name="definir-ambiente-de-trabalho-via-linha-de-comando"/>
      <w:r>
        <w:t xml:space="preserve">2.1.1	Definir ambiente de trabalho via linha de comando</w:t>
      </w:r>
      <w:bookmarkEnd w:id="43"/>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docs/livroR-1.0_files/figures%20print/setwd.png" id="0" name="Picture"/>
                    <pic:cNvPicPr>
                      <a:picLocks noChangeArrowheads="1" noChangeAspect="1"/>
                    </pic:cNvPicPr>
                  </pic:nvPicPr>
                  <pic:blipFill>
                    <a:blip r:embed="rId44"/>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5"/>
      </w:r>
      <w:r>
        <w:t xml:space="preserve">, nela agora situa-se as pastas e arquivos da pasta que selecionamos e onde estará salvo nosso script quando o salvarmos.</w:t>
      </w:r>
    </w:p>
    <w:p>
      <w:pPr>
        <w:pStyle w:val="Heading3"/>
      </w:pPr>
      <w:bookmarkStart w:id="46" w:name="definir-ambiente-de-trabalho-via-interface-gráfica"/>
      <w:r>
        <w:t xml:space="preserve">2.1.2	Definir ambiente de trabalho via interface gráfica</w:t>
      </w:r>
      <w:bookmarkEnd w:id="46"/>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onde irá aparecer a janela abaixo (Figura</w:t>
      </w:r>
      <w:r>
        <w:t xml:space="preserve"> </w:t>
      </w:r>
      <w:r>
        <w:t xml:space="preserve">2.2</w:t>
      </w:r>
      <w:r>
        <w:t xml:space="preserve">) 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(Figura</w:t>
      </w:r>
      <w:r>
        <w:t xml:space="preserve"> </w:t>
      </w:r>
      <w:r>
        <w:t xml:space="preserve">2.3</w:t>
      </w:r>
      <w:r>
        <w:t xml:space="preserve">) da mesma forma que a opção anterior a mesma janela irá aparecer (Figura</w:t>
      </w:r>
      <w:r>
        <w:t xml:space="preserve"> </w:t>
      </w:r>
      <w:r>
        <w:t xml:space="preserve">2.2</w:t>
      </w:r>
      <w:r>
        <w:t xml:space="preserve">);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2.4</w:t>
      </w:r>
      <w:r>
        <w:t xml:space="preserve">).</w:t>
      </w:r>
    </w:p>
    <w:p>
      <w:pPr>
        <w:pStyle w:val="CaptionedFigure"/>
      </w:pPr>
      <w:r>
        <w:drawing>
          <wp:inline>
            <wp:extent cx="4312117" cy="4177364"/>
            <wp:effectExtent b="0" l="0" r="0" t="0"/>
            <wp:docPr descr="Figura 2.2: [Inserir PRINT da janela ctrl shift h]"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2.2:</w:t>
      </w:r>
      <w:r>
        <w:t xml:space="preserve"> </w:t>
      </w:r>
      <w:r>
        <w:rPr>
          <w:b/>
        </w:rPr>
        <w:t xml:space="preserve">[Inserir PRINT da janela ctrl shift h]</w:t>
      </w:r>
    </w:p>
    <w:p>
      <w:pPr>
        <w:pStyle w:val="CaptionedFigure"/>
      </w:pPr>
      <w:r>
        <w:drawing>
          <wp:inline>
            <wp:extent cx="4312117" cy="4177364"/>
            <wp:effectExtent b="0" l="0" r="0" t="0"/>
            <wp:docPr descr="Figura 2.3: [Inserir PRINT da janela session]"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2.3:</w:t>
      </w:r>
      <w:r>
        <w:t xml:space="preserve"> </w:t>
      </w:r>
      <w:r>
        <w:rPr>
          <w:b/>
        </w:rPr>
        <w:t xml:space="preserve">[Inserir PRINT da janela session]</w:t>
      </w:r>
    </w:p>
    <w:p>
      <w:pPr>
        <w:pStyle w:val="CaptionedFigure"/>
      </w:pPr>
      <w:r>
        <w:drawing>
          <wp:inline>
            <wp:extent cx="4312117" cy="4177364"/>
            <wp:effectExtent b="0" l="0" r="0" t="0"/>
            <wp:docPr descr="Figura 2.4: [Inserir PRINT da janela files-guia]" title="" id="1" name="Picture"/>
            <a:graphic>
              <a:graphicData uri="http://schemas.openxmlformats.org/drawingml/2006/picture">
                <pic:pic>
                  <pic:nvPicPr>
                    <pic:cNvPr descr="/media/wilson/personaldoc/Livro_R/Série%20estatística%20passo%20a%20passo%20em%20excel%20e%20R/livroR-1.0/docs/livroR-1.0_files/figures%20print/files.png" id="0" name="Picture"/>
                    <pic:cNvPicPr>
                      <a:picLocks noChangeArrowheads="1" noChangeAspect="1"/>
                    </pic:cNvPicPr>
                  </pic:nvPicPr>
                  <pic:blipFill>
                    <a:blip r:embed="rId37"/>
                    <a:stretch>
                      <a:fillRect/>
                    </a:stretch>
                  </pic:blipFill>
                  <pic:spPr bwMode="auto">
                    <a:xfrm>
                      <a:off x="0" y="0"/>
                      <a:ext cx="4312117" cy="4177364"/>
                    </a:xfrm>
                    <a:prstGeom prst="rect">
                      <a:avLst/>
                    </a:prstGeom>
                    <a:noFill/>
                    <a:ln w="9525">
                      <a:noFill/>
                      <a:headEnd/>
                      <a:tailEnd/>
                    </a:ln>
                  </pic:spPr>
                </pic:pic>
              </a:graphicData>
            </a:graphic>
          </wp:inline>
        </w:drawing>
      </w:r>
    </w:p>
    <w:p>
      <w:pPr>
        <w:pStyle w:val="ImageCaption"/>
      </w:pPr>
      <w:r>
        <w:t xml:space="preserve">Figura 2.4:</w:t>
      </w:r>
      <w:r>
        <w:t xml:space="preserve"> </w:t>
      </w:r>
      <w:r>
        <w:rPr>
          <w:b/>
        </w:rPr>
        <w:t xml:space="preserve">[Inserir PRINT da janela files-guia]</w:t>
      </w:r>
    </w:p>
    <w:p>
      <w:pPr>
        <w:pStyle w:val="Heading3"/>
      </w:pPr>
      <w:bookmarkStart w:id="47" w:name="importar-planilha-via-linha-de-comando"/>
      <w:r>
        <w:t xml:space="preserve">2.1.3	Importar planilha via linha de comando:</w:t>
      </w:r>
      <w:bookmarkEnd w:id="47"/>
    </w:p>
    <w:p>
      <w:pPr>
        <w:pStyle w:val="FirstParagraph"/>
      </w:pPr>
      <w:r>
        <w:t xml:space="preserve">Primeiro construa as planilhas a seguir nos formatos *.csv (usando vírgula como separador de colunas e ponto como separador decimal) (Figura</w:t>
      </w:r>
      <w:r>
        <w:t xml:space="preserve"> </w:t>
      </w:r>
      <w:r>
        <w:t xml:space="preserve">2.5</w:t>
      </w:r>
      <w:r>
        <w:t xml:space="preserve">) e *.xlsx (Figura</w:t>
      </w:r>
      <w:r>
        <w:t xml:space="preserve"> </w:t>
      </w:r>
      <w:r>
        <w:t xml:space="preserve">??</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5: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png" id="0" name="Picture"/>
                    <pic:cNvPicPr>
                      <a:picLocks noChangeArrowheads="1" noChangeAspect="1"/>
                    </pic:cNvPicPr>
                  </pic:nvPicPr>
                  <pic:blipFill>
                    <a:blip r:embed="rId48"/>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2.5: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6: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docs/livroR-1.0_files/figures%20print/planilhaxlsx.png" id="0" name="Picture"/>
                    <pic:cNvPicPr>
                      <a:picLocks noChangeArrowheads="1" noChangeAspect="1"/>
                    </pic:cNvPicPr>
                  </pic:nvPicPr>
                  <pic:blipFill>
                    <a:blip r:embed="rId49"/>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2.6: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 file - o qual indica o nome do arquivo a ser importado; header - o qual indica se as colunas da planilha tem nome e sep - 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0"/>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 path é similar ao file, o argumento col_names é similar ao header. Repare que não temos o argumento sep, pois em um arquivo excel as variáveis são salvas em colunas. Observe que independente da forma de importação (que é dependente do formato do arquivo *.csv ou *.xlsx) o resultado final é o mesmo (Figura</w:t>
      </w:r>
      <w:r>
        <w:t xml:space="preserve"> </w:t>
      </w:r>
      <w:r>
        <w:t xml:space="preserve">2.7</w:t>
      </w:r>
      <w:r>
        <w:t xml:space="preserve">).</w:t>
      </w:r>
    </w:p>
    <w:p>
      <w:pPr>
        <w:pStyle w:val="CaptionedFigure"/>
      </w:pPr>
      <w:r>
        <w:drawing>
          <wp:inline>
            <wp:extent cx="5334000" cy="2741083"/>
            <wp:effectExtent b="0" l="0" r="0" t="0"/>
            <wp:docPr descr="Figura 2.7: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docs/livroR-1.0_files/figures%20print/arqenv.png" id="0" name="Picture"/>
                    <pic:cNvPicPr>
                      <a:picLocks noChangeArrowheads="1" noChangeAspect="1"/>
                    </pic:cNvPicPr>
                  </pic:nvPicPr>
                  <pic:blipFill>
                    <a:blip r:embed="rId51"/>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2.7: Resultado da importação do arquivo observado na guia environment. Há um objeto de nome dados, com 40 observações e 4 variáveis.</w:t>
      </w:r>
    </w:p>
    <w:p>
      <w:pPr>
        <w:pStyle w:val="Heading3"/>
      </w:pPr>
      <w:bookmarkStart w:id="52" w:name="importar-planilha-via-interface-gráfica"/>
      <w:r>
        <w:t xml:space="preserve">2.1.4	Importar planilha via interface gráfica:</w:t>
      </w:r>
      <w:bookmarkEnd w:id="52"/>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2.8</w:t>
      </w:r>
      <w:r>
        <w:t xml:space="preserve">).</w:t>
      </w:r>
    </w:p>
    <w:p>
      <w:pPr>
        <w:pStyle w:val="CaptionedFigure"/>
      </w:pPr>
      <w:r>
        <w:drawing>
          <wp:inline>
            <wp:extent cx="5334000" cy="2741083"/>
            <wp:effectExtent b="0" l="0" r="0" t="0"/>
            <wp:docPr descr="Figura 2.8: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png" id="0" name="Picture"/>
                    <pic:cNvPicPr>
                      <a:picLocks noChangeArrowheads="1" noChangeAspect="1"/>
                    </pic:cNvPicPr>
                  </pic:nvPicPr>
                  <pic:blipFill>
                    <a:blip r:embed="rId53"/>
                    <a:stretch>
                      <a:fillRect/>
                    </a:stretch>
                  </pic:blipFill>
                  <pic:spPr bwMode="auto">
                    <a:xfrm>
                      <a:off x="0" y="0"/>
                      <a:ext cx="5334000" cy="2741083"/>
                    </a:xfrm>
                    <a:prstGeom prst="rect">
                      <a:avLst/>
                    </a:prstGeom>
                    <a:noFill/>
                    <a:ln w="9525">
                      <a:noFill/>
                      <a:headEnd/>
                      <a:tailEnd/>
                    </a:ln>
                  </pic:spPr>
                </pic:pic>
              </a:graphicData>
            </a:graphic>
          </wp:inline>
        </w:drawing>
      </w:r>
    </w:p>
    <w:p>
      <w:pPr>
        <w:pStyle w:val="ImageCaption"/>
      </w:pPr>
      <w:r>
        <w:t xml:space="preserve">Figura 2.8: mudar a figura e fazer a legenda</w:t>
      </w:r>
    </w:p>
    <w:p>
      <w:pPr>
        <w:pStyle w:val="BodyText"/>
      </w:pPr>
      <w:r>
        <w:t xml:space="preserve">Neste momento uma janela irá abrir (Figura</w:t>
      </w:r>
      <w:r>
        <w:t xml:space="preserve"> </w:t>
      </w:r>
      <w:r>
        <w:t xml:space="preserve">2.9</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8878"/>
            <wp:effectExtent b="0" l="0" r="0" t="0"/>
            <wp:docPr descr="Figura 2.9: mudar a figura e fazer a legenda" title="" id="1" name="Picture"/>
            <a:graphic>
              <a:graphicData uri="http://schemas.openxmlformats.org/drawingml/2006/picture">
                <pic:pic>
                  <pic:nvPicPr>
                    <pic:cNvPr descr="/media/wilson/personaldoc/Livro_R/Série%20estatística%20passo%20a%20passo%20em%20excel%20e%20R/livroR-1.0/docs/livroR-1.0_files/figures%20print/import-graf-2.png" id="0" name="Picture"/>
                    <pic:cNvPicPr>
                      <a:picLocks noChangeArrowheads="1" noChangeAspect="1"/>
                    </pic:cNvPicPr>
                  </pic:nvPicPr>
                  <pic:blipFill>
                    <a:blip r:embed="rId54"/>
                    <a:stretch>
                      <a:fillRect/>
                    </a:stretch>
                  </pic:blipFill>
                  <pic:spPr bwMode="auto">
                    <a:xfrm>
                      <a:off x="0" y="0"/>
                      <a:ext cx="5334000" cy="2558878"/>
                    </a:xfrm>
                    <a:prstGeom prst="rect">
                      <a:avLst/>
                    </a:prstGeom>
                    <a:noFill/>
                    <a:ln w="9525">
                      <a:noFill/>
                      <a:headEnd/>
                      <a:tailEnd/>
                    </a:ln>
                  </pic:spPr>
                </pic:pic>
              </a:graphicData>
            </a:graphic>
          </wp:inline>
        </w:drawing>
      </w:r>
    </w:p>
    <w:p>
      <w:pPr>
        <w:pStyle w:val="ImageCaption"/>
      </w:pPr>
      <w:r>
        <w:t xml:space="preserve">Figura 2.9: mudar a figura e fazer a legenda</w:t>
      </w:r>
    </w:p>
    <w:p>
      <w:pPr>
        <w:pStyle w:val="Heading2"/>
      </w:pPr>
      <w:bookmarkStart w:id="55" w:name="passo-verificar-e-ajustar-os-dados"/>
      <w:r>
        <w:t xml:space="preserve">2.2	2° passo: Verificar e ajustar os dados</w:t>
      </w:r>
      <w:bookmarkEnd w:id="55"/>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6"/>
      </w:r>
      <w:r>
        <w:t xml:space="preserve">.</w:t>
      </w:r>
    </w:p>
    <w:p>
      <w:pPr>
        <w:pStyle w:val="BodyText"/>
      </w:pPr>
      <w:r>
        <w:t xml:space="preserve">Também nos e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A todas as variáveis de nossas planilha consideradas categóricas temos que transformar para fator.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um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a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7" w:name="passo-sumarizar-os-dados-graficamente"/>
      <w:r>
        <w:t xml:space="preserve">2.3	3° passo: Sumarizar os dados graficamente</w:t>
      </w:r>
      <w:bookmarkEnd w:id="57"/>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nossso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linhas e boxplots. Vamos então começar com esses e com o objetivo inicial de sumarizar nossos dados.</w:t>
      </w:r>
    </w:p>
    <w:p>
      <w:pPr>
        <w:pStyle w:val="Heading3"/>
      </w:pPr>
      <w:bookmarkStart w:id="58" w:name="histograma"/>
      <w:r>
        <w:t xml:space="preserve">2.3.1	Histograma</w:t>
      </w:r>
      <w:bookmarkEnd w:id="58"/>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2.10</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10: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2.10: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11: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Comprimento dos organismos da planilha dados com barras coloridas</w:t>
      </w:r>
    </w:p>
    <w:p>
      <w:pPr>
        <w:pStyle w:val="BodyText"/>
      </w:pPr>
      <w:r>
        <w:t xml:space="preserve">Temos aqui nosso histograma (Figura</w:t>
      </w:r>
      <w:r>
        <w:t xml:space="preserve"> </w:t>
      </w:r>
      <w:r>
        <w:t xml:space="preserve">2.11</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1" w:name="gráfico-de-barras"/>
      <w:r>
        <w:t xml:space="preserve">2.3.2	GRÁFICO DE BARRAS</w:t>
      </w:r>
      <w:bookmarkEnd w:id="61"/>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2.12</w:t>
      </w:r>
      <w:r>
        <w:t xml:space="preserve">).</w:t>
      </w:r>
    </w:p>
    <w:p>
      <w:pPr>
        <w:pStyle w:val="CaptionedFigure"/>
      </w:pPr>
      <w:r>
        <w:drawing>
          <wp:inline>
            <wp:extent cx="3251200" cy="3352800"/>
            <wp:effectExtent b="0" l="0" r="0" t="0"/>
            <wp:docPr descr="Figura 2.12: Planilha de dados de abundância." title="" id="1" name="Picture"/>
            <a:graphic>
              <a:graphicData uri="http://schemas.openxmlformats.org/drawingml/2006/picture">
                <pic:pic>
                  <pic:nvPicPr>
                    <pic:cNvPr descr="/media/wilson/personaldoc/Livro_R/Série%20estatística%20passo%20a%20passo%20em%20excel%20e%20R/livroR-1.0/docs/livroR-1.0_files/figures%20print/abundancia.png" id="0" name="Picture"/>
                    <pic:cNvPicPr>
                      <a:picLocks noChangeArrowheads="1" noChangeAspect="1"/>
                    </pic:cNvPicPr>
                  </pic:nvPicPr>
                  <pic:blipFill>
                    <a:blip r:embed="rId62"/>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2.12: Planilha de dados de abundância.</w:t>
      </w:r>
    </w:p>
    <w:p>
      <w:pPr>
        <w:pStyle w:val="BodyText"/>
      </w:pPr>
      <w:r>
        <w:t xml:space="preserve">Acesse a seguinte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fluído, e apenas realizamos três etapas, sendo uma delas apenas para conferir os dados.</w:t>
      </w:r>
    </w:p>
    <w:p>
      <w:pPr>
        <w:pStyle w:val="BodyText"/>
      </w:pPr>
      <w:r>
        <w:t xml:space="preserve">Seguindo para o gráfico de barras (Figura</w:t>
      </w:r>
      <w:r>
        <w:t xml:space="preserve"> </w:t>
      </w:r>
      <w:r>
        <w:t xml:space="preserve">2.13</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2.14</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4: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Gráfico de barras com número de indivíduos da planilha abundância por mês, com barras coloridas</w:t>
      </w:r>
    </w:p>
    <w:p>
      <w:pPr>
        <w:pStyle w:val="BodyText"/>
      </w:pPr>
      <w:r>
        <w:t xml:space="preserve">No código acima definimos o que será gráficado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5" w:name="gráfico-de-linhas"/>
      <w:r>
        <w:t xml:space="preserve">2.3.3	GRÁFICO DE LINHAS</w:t>
      </w:r>
      <w:bookmarkEnd w:id="65"/>
    </w:p>
    <w:p>
      <w:pPr>
        <w:pStyle w:val="FirstParagraph"/>
      </w:pPr>
      <w:r>
        <w:t xml:space="preserve">Quando queremos representar dados quantitativos, podemos usar o gráfico de linhas. Como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2.15</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5: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2.16</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6: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 main que insere o título do gráfico, o type que define que será um gráfico de linhas e lwd que determina a espessura da linha.</w:t>
      </w:r>
    </w:p>
    <w:p>
      <w:pPr>
        <w:pStyle w:val="Heading3"/>
      </w:pPr>
      <w:bookmarkStart w:id="68" w:name="boxplot"/>
      <w:r>
        <w:t xml:space="preserve">2.3.4	BOXPLOT</w:t>
      </w:r>
      <w:bookmarkEnd w:id="68"/>
    </w:p>
    <w:p>
      <w:pPr>
        <w:pStyle w:val="FirstParagraph"/>
      </w:pPr>
      <w:r>
        <w:t xml:space="preserve">Podemos usar os bloxplots para verificar a tendência das amostras e a distribuição desta.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2.17</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7: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tipo boxplot do comprimento por ano, da planilha dados</w:t>
      </w:r>
    </w:p>
    <w:p>
      <w:pPr>
        <w:pStyle w:val="BodyText"/>
      </w:pPr>
      <w:r>
        <w:t xml:space="preserve">Repare que a escrita para esse gráfico é ligeiramente diferente. Ele usa a função boxplot(), dentro desta há um argumento chamado formula onde nele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2.18</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8: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t xml:space="preserve">“</w:t>
      </w:r>
      <w:r>
        <w:rPr>
          <w:i/>
        </w:rPr>
        <w:t xml:space="preserve">box</w:t>
      </w:r>
      <w:r>
        <w:t xml:space="preserve">”</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1" w:name="passo-sumarizar-os-dados-numericamente"/>
      <w:r>
        <w:t xml:space="preserve">2.4	4° passo: Sumarizar os dados numericamente</w:t>
      </w:r>
      <w:bookmarkEnd w:id="71"/>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e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obte-la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Está é a forma mais simples de verificar a dispersão de seus dados. Ela apresenta suas falhas, porém tem a vantagem de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ou seja, uma amostra de uma população. Portanto quando se deseja avaliar o desvio padrão, assim como outras medidas de variabilidade, devemos considerar se estamos avaliando uma amostra ou toda a população. Se uma amostra é considerada o nos referimos a ela como desvio padrão amostral e a representamos por (s) se toda a população é considerada nos referimos a ela como desvio padrão populacional e a representamos por (sigma).</w:t>
      </w:r>
    </w:p>
    <w:p>
      <w:pPr>
        <w:pStyle w:val="BodyText"/>
      </w:pPr>
      <w:r>
        <w:t xml:space="preserve">Neste livro vamos abordar e considerar o desvio padrão como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formula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intuítivo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(fatores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 data frame 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2.19</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9: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2.19: Gráfico de barras com erro padrão do comprimento por ano e local, da planilha resultado (derivada da planilha dados)</w:t>
      </w:r>
    </w:p>
    <w:p>
      <w:pPr>
        <w:pStyle w:val="BodyText"/>
      </w:pPr>
      <w:r>
        <w:t xml:space="preserve">Note que nesta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construimos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entendimento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2.20</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20: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2.20: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4" w:name="considerações"/>
      <w:r>
        <w:t xml:space="preserve">2.5	Considerações</w:t>
      </w:r>
      <w:bookmarkEnd w:id="74"/>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2.21</w:t>
      </w:r>
      <w:r>
        <w:t xml:space="preserve">).</w:t>
      </w:r>
    </w:p>
    <w:p>
      <w:pPr>
        <w:pStyle w:val="BodyText"/>
      </w:pPr>
      <w:r>
        <w:t xml:space="preserve">Durante nosso percurso neste livro realizaremos muito mais gráficos aliados as análises estatísticas básicas mais comumente utilizadas. Não se assuste com a quantidade de etapas e funções e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21: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docs/livroR-1.0_files/figures%20print/resumo1.png" id="0" name="Picture"/>
                    <pic:cNvPicPr>
                      <a:picLocks noChangeArrowheads="1" noChangeAspect="1"/>
                    </pic:cNvPicPr>
                  </pic:nvPicPr>
                  <pic:blipFill>
                    <a:blip r:embed="rId7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2.21: Resumo dos passos abordados no capítulo: da definição do ambiente de trabalho até a sumarização dos dados.</w:t>
      </w:r>
    </w:p>
    <w:p>
      <w:pPr>
        <w:pStyle w:val="Heading1"/>
      </w:pPr>
      <w:bookmarkStart w:id="76" w:name="qui-quadrado-chi"/>
      <w:r>
        <w:t xml:space="preserve">3	Qui-quadrado (</w:t>
      </w:r>
      <m:oMath>
        <m:r>
          <m:t>χ</m:t>
        </m:r>
      </m:oMath>
      <w:r>
        <w:t xml:space="preserve">²)</w:t>
      </w:r>
      <w:bookmarkEnd w:id="76"/>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77" w:name="chi-para-ajuste-de-frequências"/>
      <w:r>
        <w:t xml:space="preserve">3.1	</w:t>
      </w:r>
      <m:oMath>
        <m:r>
          <m:t>χ</m:t>
        </m:r>
      </m:oMath>
      <w:r>
        <w:t xml:space="preserve">² para ajuste de frequências</w:t>
      </w:r>
      <w:bookmarkEnd w:id="77"/>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0.06847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78" w:name="chi-para-independência"/>
      <w:r>
        <w:t xml:space="preserve">3.2	</w:t>
      </w:r>
      <m:oMath>
        <m:r>
          <m:t>χ</m:t>
        </m:r>
      </m:oMath>
      <w:r>
        <w:t xml:space="preserve">² para independência</w:t>
      </w:r>
      <w:bookmarkEnd w:id="78"/>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r>
        <w:t xml:space="preserve"> </w:t>
      </w:r>
      <w:r>
        <w:t xml:space="preserve">* H0: Na população amostrada a proporção de machos e fêmeas é independente do ano;</w:t>
      </w:r>
      <w:r>
        <w:t xml:space="preserve"> </w:t>
      </w:r>
      <w:r>
        <w:t xml:space="preserve">* H0: Na população amostrada a razão sexual dos camarões é a mesma entre os anos;</w:t>
      </w:r>
      <w:r>
        <w:t xml:space="preserve"> </w:t>
      </w:r>
      <w:r>
        <w:t xml:space="preserve">* H0: A proporção de camarões entre os anos é a mesma para ambos os sexos;</w:t>
      </w:r>
    </w:p>
    <w:p>
      <w:pPr>
        <w:pStyle w:val="BodyText"/>
      </w:pPr>
      <w:r>
        <w:t xml:space="preserve">Como o teste resultou em um p-value 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79"/>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1" w:name="considerações-1"/>
      <w:r>
        <w:t xml:space="preserve">3.3	Considerações</w:t>
      </w:r>
      <w:bookmarkEnd w:id="81"/>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docs/livroR-1.0_files/figures%20print/resumo2.png" id="0" name="Picture"/>
                    <pic:cNvPicPr>
                      <a:picLocks noChangeArrowheads="1" noChangeAspect="1"/>
                    </pic:cNvPicPr>
                  </pic:nvPicPr>
                  <pic:blipFill>
                    <a:blip r:embed="rId82"/>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3" w:name="teste-t."/>
      <w:r>
        <w:t xml:space="preserve">4	Teste-t.</w:t>
      </w:r>
      <w:bookmarkEnd w:id="83"/>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nossas análises em R através do teste-t para uma amostra e a discussão sobre hipótese nula, caudalidade e nível de confiança. A partir de então seguiremos para o teste-t com duas amostras e o teste-t pareado.</w:t>
      </w:r>
    </w:p>
    <w:p>
      <w:pPr>
        <w:pStyle w:val="Heading2"/>
      </w:pPr>
      <w:bookmarkStart w:id="84" w:name="teste-t-para-uma-amostra"/>
      <w:r>
        <w:t xml:space="preserve">4.1	Teste-t para uma amostra</w:t>
      </w:r>
      <w:bookmarkEnd w:id="84"/>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H0 diz que a média de nossa variável é similar ao valor previamente estipulado, enquanto que HA diz que a média de nossa variável é diferente do valor previamente estipulado.</w:t>
      </w:r>
    </w:p>
    <w:p>
      <w:pPr>
        <w:pStyle w:val="BodyText"/>
      </w:pPr>
      <w:r>
        <w:t xml:space="preserve">Matematicamente podemos obter o resultado do teste-t pela seguinte fórmula:</w:t>
      </w:r>
      <w:r>
        <w:t xml:space="preserve"> </w:t>
      </w:r>
      <m:oMath>
        <m:sSub>
          <m:e>
            <m:r>
              <m:t>t</m:t>
            </m:r>
          </m:e>
          <m:sub>
            <m:r>
              <m:t>s</m:t>
            </m:r>
          </m:sub>
        </m:sSub>
        <m:r>
          <m:t>=</m:t>
        </m:r>
        <m:r>
          <m:t>(</m:t>
        </m:r>
        <m:r>
          <m:t>x</m:t>
        </m:r>
        <m:r>
          <m:t>−</m:t>
        </m:r>
        <m:r>
          <m:t>m</m:t>
        </m:r>
        <m:r>
          <m:t>i</m:t>
        </m:r>
        <m:r>
          <m:t>)</m:t>
        </m:r>
        <m:r>
          <m:t>/</m:t>
        </m:r>
        <m:r>
          <m:t>(</m:t>
        </m:r>
        <m:r>
          <m:t>s</m:t>
        </m:r>
        <m:r>
          <m:t>/</m:t>
        </m:r>
        <m:r>
          <m:t>s</m:t>
        </m:r>
        <m:r>
          <m:t>q</m:t>
        </m:r>
        <m:r>
          <m:t>r</m:t>
        </m:r>
        <m:r>
          <m:t>t</m:t>
        </m:r>
        <m:r>
          <m:t>(</m:t>
        </m:r>
        <m:r>
          <m:t>n</m:t>
        </m:r>
        <m:r>
          <m:t>)</m:t>
        </m:r>
        <m:r>
          <m:t>)</m:t>
        </m:r>
      </m:oMath>
      <w:r>
        <w:t xml:space="preserve">. Onde, x: média da amostra, mi: média teórica esperada, s: desvio padrão da amostra, n: tamanho da amostra.</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w:t>
      </w:r>
      <w:r>
        <w:t xml:space="preserve"> </w:t>
      </w:r>
      <w:r>
        <w:rPr>
          <w:i/>
        </w:rPr>
        <w:t xml:space="preserve">set.seed()</w:t>
      </w:r>
      <w:r>
        <w:t xml:space="preserve"> </w:t>
      </w:r>
      <w:r>
        <w:t xml:space="preserve">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gerados aqui serão os mesmos em qualquer lugar.</w:t>
      </w:r>
    </w:p>
    <w:p>
      <w:pPr>
        <w:pStyle w:val="BodyText"/>
      </w:pPr>
      <w:r>
        <w:t xml:space="preserve">A nossa segunda linha de comando utiliza a função</w:t>
      </w:r>
      <w:r>
        <w:t xml:space="preserve"> </w:t>
      </w:r>
      <w:r>
        <w:rPr>
          <w:i/>
        </w:rPr>
        <w:t xml:space="preserve">rnorm()</w:t>
      </w:r>
      <w:r>
        <w:t xml:space="preserve"> </w:t>
      </w:r>
      <w:r>
        <w:t xml:space="preserve">o qual gera números aleatórios considerando uma distribuição normal e soma esses valores gerados a uma distribuição uniforme gerada pela função</w:t>
      </w:r>
      <w:r>
        <w:t xml:space="preserve"> </w:t>
      </w:r>
      <w:r>
        <w:rPr>
          <w:i/>
        </w:rPr>
        <w:t xml:space="preserve">runif()</w:t>
      </w:r>
      <w:r>
        <w:t xml:space="preserve">.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w:t>
      </w:r>
      <w:r>
        <w:t xml:space="preserve"> </w:t>
      </w:r>
      <w:r>
        <w:rPr>
          <w:i/>
        </w:rPr>
        <w:t xml:space="preserve">runif()</w:t>
      </w:r>
      <w:r>
        <w:t xml:space="preserve">.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 auma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 p-value foi menor que 0,05. Além disso podemos dizer que a média do tamanho dos camarões que coletamos (24,86 mm) é estatisticamente menor do que a média presente no outro estuário (25,80 mm). De outra forma podemos dizer que se rejeitarmos H0 cometeremos um erro de 1,5% (p-value em percentual), ou seja, 1,5% de estarmos cometendo o erro tipo 1 (rejeitar a H0 quando ela é verdadeira), como 1,5% é menor que 5%, temos subsídio para afirmar que a média obtida (24,86 mm) é diferente da média esperada (25,80 mm) (98,5% de certeza).</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entre realizar o teste-t bicaudal ou unicaudal depende da pergunta feita previamente e dos dados coletados. Então antes de realizar este teste mantenha-se atento a hipótese que se deseja testar.</w:t>
      </w:r>
    </w:p>
    <w:p>
      <w:pPr>
        <w:pStyle w:val="BodyText"/>
      </w:pPr>
      <w:r>
        <w:t xml:space="preserve">Agora imagine o seguinte exemplo: Em um costão rochoso foi observado ao longo do dia</w:t>
      </w:r>
      <w:r>
        <w:t xml:space="preserve"> </w:t>
      </w:r>
      <w:r>
        <w:t xml:space="preserve">“</w:t>
      </w:r>
      <w:r>
        <w:t xml:space="preserve">1</w:t>
      </w:r>
      <w:r>
        <w:t xml:space="preserve">”</w:t>
      </w:r>
      <w:r>
        <w:t xml:space="preserve"> </w:t>
      </w:r>
      <w:r>
        <w:t xml:space="preserve">100 estrelas do mar em diferentes alturas, em relação a baixamar. Essas alturas foram quantificadas (valores serão construídos abaixo). Sabe-se que no dia anterior</w:t>
      </w:r>
      <w:r>
        <w:t xml:space="preserve"> </w:t>
      </w:r>
      <w:r>
        <w:t xml:space="preserve">“</w:t>
      </w:r>
      <w:r>
        <w:t xml:space="preserve">0</w:t>
      </w:r>
      <w:r>
        <w:t xml:space="preserve">”</w:t>
      </w:r>
      <w:r>
        <w:t xml:space="preserve"> </w:t>
      </w:r>
      <w:r>
        <w:t xml:space="preserve">a altura média das estrelas no mesmo costão foi de 0,90 m. Sabe-se também que o dia anterior (dia 0) foi mais frio e que dias mais frios implicam em maiores alturas. A partir dessas informações e quais são as hipóteses testadas e o resultado do teste-t.</w:t>
      </w:r>
    </w:p>
    <w:p>
      <w:pPr>
        <w:pStyle w:val="BodyText"/>
      </w:pPr>
      <w:r>
        <w:t xml:space="preserve">H0: A média da altura das estrelas do mar no costão no dia</w:t>
      </w:r>
      <w:r>
        <w:t xml:space="preserve"> </w:t>
      </w:r>
      <w:r>
        <w:t xml:space="preserve">“</w:t>
      </w:r>
      <w:r>
        <w:t xml:space="preserve">1</w:t>
      </w:r>
      <w:r>
        <w:t xml:space="preserve">”</w:t>
      </w:r>
      <w:r>
        <w:t xml:space="preserve"> </w:t>
      </w:r>
      <w:r>
        <w:t xml:space="preserve">é menor ou igual ao dia</w:t>
      </w:r>
      <w:r>
        <w:t xml:space="preserve"> </w:t>
      </w:r>
      <w:r>
        <w:t xml:space="preserve">“</w:t>
      </w:r>
      <w:r>
        <w:t xml:space="preserve">0</w:t>
      </w:r>
      <w:r>
        <w:t xml:space="preserve">”</w:t>
      </w:r>
    </w:p>
    <w:p>
      <w:pPr>
        <w:pStyle w:val="BodyText"/>
      </w:pPr>
      <w:r>
        <w:t xml:space="preserve">HA: A média da altura das estrelas do mar no costão no dia</w:t>
      </w:r>
      <w:r>
        <w:t xml:space="preserve"> </w:t>
      </w:r>
      <w:r>
        <w:t xml:space="preserve">“</w:t>
      </w:r>
      <w:r>
        <w:t xml:space="preserve">1</w:t>
      </w:r>
      <w:r>
        <w:t xml:space="preserve">”</w:t>
      </w:r>
      <w:r>
        <w:t xml:space="preserve"> </w:t>
      </w:r>
      <w:r>
        <w:t xml:space="preserve">é maior que a do dia</w:t>
      </w:r>
      <w:r>
        <w:t xml:space="preserve"> </w:t>
      </w:r>
      <w:r>
        <w:t xml:space="preserve">“</w:t>
      </w:r>
      <w:r>
        <w:t xml:space="preserve">0</w:t>
      </w:r>
      <w:r>
        <w:t xml:space="preserve">”</w:t>
      </w:r>
    </w:p>
    <w:p>
      <w:pPr>
        <w:pStyle w:val="BodyText"/>
      </w:pPr>
      <w:r>
        <w:t xml:space="preserve">Matematicamente podemos escrever da seguinte forma:</w:t>
      </w:r>
    </w:p>
    <w:p>
      <w:pPr>
        <w:pStyle w:val="BodyText"/>
      </w:pPr>
      <w:r>
        <w:t xml:space="preserve">H0: μ ≤ 0,90</w:t>
      </w:r>
    </w:p>
    <w:p>
      <w:pPr>
        <w:pStyle w:val="BodyText"/>
      </w:pPr>
      <w:r>
        <w:t xml:space="preserve">HA: μ &gt; 0,90</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um argumento na função</w:t>
      </w:r>
      <w:r>
        <w:t xml:space="preserve"> </w:t>
      </w:r>
      <w:r>
        <w:rPr>
          <w:i/>
        </w:rPr>
        <w:t xml:space="preserve">rnorm()</w:t>
      </w:r>
      <w:r>
        <w:t xml:space="preserve"> </w:t>
      </w:r>
      <w:r>
        <w:t xml:space="preserve">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0.9852</w:t>
      </w:r>
      <w:r>
        <w:br w:type="textWrapping"/>
      </w:r>
      <w:r>
        <w:rPr>
          <w:rStyle w:val="VerbatimChar"/>
        </w:rPr>
        <w:t xml:space="preserve">## alternative hypothesis: true mean is greater than 0.9</w:t>
      </w:r>
      <w:r>
        <w:br w:type="textWrapping"/>
      </w:r>
      <w:r>
        <w:rPr>
          <w:rStyle w:val="VerbatimChar"/>
        </w:rPr>
        <w:t xml:space="preserve">## 95 percent confidence interval:</w:t>
      </w:r>
      <w:r>
        <w:br w:type="textWrapping"/>
      </w:r>
      <w:r>
        <w:rPr>
          <w:rStyle w:val="VerbatimChar"/>
        </w:rPr>
        <w:t xml:space="preserve">##  0.8087617       Inf</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w:t>
      </w:r>
      <w:r>
        <w:t xml:space="preserve"> </w:t>
      </w:r>
      <w:r>
        <w:t xml:space="preserve">“</w:t>
      </w:r>
      <w:r>
        <w:t xml:space="preserve">dia.0</w:t>
      </w:r>
      <w:r>
        <w:t xml:space="preserve">”</w:t>
      </w:r>
      <w:r>
        <w:t xml:space="preserve"> </w:t>
      </w:r>
      <w:r>
        <w:t xml:space="preserve">que nos retorna o valor médio encontrado para altura das estrelas do mar no costão no dia 0 e seguimos com o teste-t onde avaliamos se os dados que obtivemos do dia 1 são menores ou iguais ao dia 0, por meio do argumento</w:t>
      </w:r>
      <w:r>
        <w:t xml:space="preserve"> </w:t>
      </w:r>
      <w:r>
        <w:t xml:space="preserve">“</w:t>
      </w:r>
      <w:r>
        <w:t xml:space="preserve">alternative</w:t>
      </w:r>
      <w:r>
        <w:t xml:space="preserve">”</w:t>
      </w:r>
      <w:r>
        <w:t xml:space="preserve"> </w:t>
      </w:r>
      <w:r>
        <w:t xml:space="preserve">definido-o como</w:t>
      </w:r>
      <w:r>
        <w:t xml:space="preserve"> </w:t>
      </w:r>
      <w:r>
        <w:t xml:space="preserve">“</w:t>
      </w:r>
      <w:r>
        <w:t xml:space="preserve">greater</w:t>
      </w:r>
      <w:r>
        <w:t xml:space="preserve">”</w:t>
      </w:r>
      <w:r>
        <w:t xml:space="preserve">. Este argumento novo que incluímos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(p-value = 0.9852). A quarta linha indica a hipótese alternativa, caso seja aceita (o que não é o caso), que é verdade que a média dos nossos dados são maiores que 0,90 m. A quinta e sexta linha indicam o intervalo de confiança de 95% dos nossos dados (0,8087617 e inf). A sétima, oitava e nona linha referem-se a média dos dados.</w:t>
      </w:r>
    </w:p>
    <w:p>
      <w:pPr>
        <w:pStyle w:val="BodyText"/>
      </w:pPr>
      <w:r>
        <w:t xml:space="preserve">Como podemos notar pelo p-value do nosso resultado este demonstra que não temos informação o suficiente para rejeitar nossa hipótese nula (H0). Portanto a média dos nossos dados é menor ou igual a 0,90.</w:t>
      </w:r>
    </w:p>
    <w:p>
      <w:pPr>
        <w:pStyle w:val="BodyText"/>
      </w:pPr>
      <w:r>
        <w:t xml:space="preserve">Outro conceito importante de qualquer teste inferencial (ex. teste-t) é o nível de confiança.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(0-1). A sua alteração implica na alteração da zona de rejeição da hipótese nula. Se aumentarmos o seu valor fica mais dificil rejeitarmos a hipótese nula e se diminuirmos o seu valor fica mais fácil rejeitar a hipótese nula. Vejamos outro exemplo.</w:t>
      </w:r>
    </w:p>
    <w:p>
      <w:pPr>
        <w:pStyle w:val="BodyText"/>
      </w:pPr>
      <w:r>
        <w:t xml:space="preserve">Imagine o seguinte exemplo: 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t xml:space="preserve">“</w:t>
      </w:r>
      <w:r>
        <w:t xml:space="preserve">p-value</w:t>
      </w:r>
      <w:r>
        <w:t xml:space="preserv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 p-value, temos que levar em consideração o nível de significância (que consiste em: 1 - nível de confiança).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 p-value =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t xml:space="preserve">“</w:t>
      </w:r>
      <w:r>
        <w:t xml:space="preserve">p-value</w:t>
      </w:r>
      <w:r>
        <w:t xml:space="preserv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e o ambiente que está estudando. Apesar da regra-de-bolso dizer 0,05 e por padrão o R definir esse nível de significância é necessário discutir o que ele representa para seus dados e qual a implicação para sua hipótese e as medidas que serão tomadas. Uma dica importante é: reporte sempre o intervalo de confiança, indique o nível de significância (consiste em: 1 menos o nível de confiança) que foi aplicado e no seu texto deixe claro a escolha do nível de significância,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w:t>
      </w:r>
      <w:r>
        <w:t xml:space="preserve"> </w:t>
      </w:r>
      <w:r>
        <w:t xml:space="preserve">“</w:t>
      </w:r>
      <w:r>
        <w:t xml:space="preserve">webr</w:t>
      </w:r>
      <w:r>
        <w:t xml:space="preserve">”</w:t>
      </w:r>
      <w:r>
        <w:t xml:space="preserve"> </w:t>
      </w:r>
      <w:r>
        <w:t xml:space="preserve">e precisamos carrega-lo usando a função library(). Após isso é só inserir a função que desenvolve o teste-t dentro da função plot(). Veja o resultado para ambos os níveis de confiança estabelecidos previamente. OBS: Uma vez instalado o pacote não precisa instala-lo novamente.</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intervaloe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0" w:name="teste-t-para-duas-amostras"/>
      <w:r>
        <w:t xml:space="preserve">4.2	Teste-t para duas amostras</w:t>
      </w:r>
      <w:bookmarkEnd w:id="90"/>
    </w:p>
    <w:p>
      <w:pPr>
        <w:pStyle w:val="FirstParagraph"/>
      </w:pPr>
      <w:r>
        <w:t xml:space="preserve">Conduzimos esse teste quando objetivamos comparar se a média de dois grupos (= amostras, populações etc) são similares. Portanto para sua realização é necessário uma variável mensurável e uma variável categórica com 2 grupos.</w:t>
      </w:r>
    </w:p>
    <w:p>
      <w:pPr>
        <w:pStyle w:val="BodyText"/>
      </w:pPr>
      <w:r>
        <w:t xml:space="preserve">Ou seja, partindo desse objetivo as hipóteses nula e alternativa desse teste são as seguintes:</w:t>
      </w:r>
    </w:p>
    <w:p>
      <w:pPr>
        <w:pStyle w:val="BodyText"/>
      </w:pPr>
      <w:r>
        <w:t xml:space="preserve">H0: A diferença na média da variável quantitativa dos grupos é igual a 0;</w:t>
      </w:r>
    </w:p>
    <w:p>
      <w:pPr>
        <w:pStyle w:val="BodyText"/>
      </w:pPr>
      <w:r>
        <w:t xml:space="preserve">HA: A diferença na média da variável quantitativa dos grupos é diferente de 0;</w:t>
      </w:r>
    </w:p>
    <w:p>
      <w:pPr>
        <w:pStyle w:val="BodyText"/>
      </w:pPr>
      <w:r>
        <w:t xml:space="preserve">Outra forma de apresentarmos a hipótese relativa a esste teste é:</w:t>
      </w:r>
    </w:p>
    <w:p>
      <w:pPr>
        <w:pStyle w:val="BodyText"/>
      </w:pPr>
      <w:r>
        <w:t xml:space="preserve">H0: A média da variável quantitativa é igual entre grupos;</w:t>
      </w:r>
    </w:p>
    <w:p>
      <w:pPr>
        <w:pStyle w:val="BodyText"/>
      </w:pPr>
      <w:r>
        <w:t xml:space="preserve">HA: A média da variável quantitativa é diferente entre grupos;</w:t>
      </w:r>
    </w:p>
    <w:p>
      <w:pPr>
        <w:pStyle w:val="BodyText"/>
      </w:pPr>
      <w:r>
        <w:t xml:space="preserve">Outra forma de escrevermos a hipótese é em relação a caudalidade do teste e, se unicaudal, pode ser escrita da seguinte forma:</w:t>
      </w:r>
    </w:p>
    <w:p>
      <w:pPr>
        <w:pStyle w:val="BodyText"/>
      </w:pPr>
      <w:r>
        <w:t xml:space="preserve">H0: A média da variável quantitativa é maior ou igual (ou menor ou igual) entre grupos;</w:t>
      </w:r>
    </w:p>
    <w:p>
      <w:pPr>
        <w:pStyle w:val="BodyText"/>
      </w:pPr>
      <w:r>
        <w:t xml:space="preserve">HA: A média da variável quantitativa é menor (ou maior) entre grupos;</w:t>
      </w:r>
    </w:p>
    <w:p>
      <w:pPr>
        <w:pStyle w:val="BodyText"/>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desses dados. Caso seja do seu interesse consulte o apêndice, no final do livro.</w:t>
      </w:r>
    </w:p>
    <w:p>
      <w:pPr>
        <w:pStyle w:val="BodyText"/>
      </w:pPr>
      <w:r>
        <w:t xml:space="preserve">Vamos, agora, verificar os dados por meio da função</w:t>
      </w:r>
      <w:r>
        <w:t xml:space="preserve"> </w:t>
      </w:r>
      <w:r>
        <w:rPr>
          <w:i/>
        </w:rPr>
        <w:t xml:space="preserve">head()</w:t>
      </w:r>
      <w:r>
        <w:t xml:space="preserve"> </w:t>
      </w:r>
      <w:r>
        <w:t xml:space="preserve">e a estrutura dos dados por meio da função</w:t>
      </w:r>
      <w:r>
        <w:t xml:space="preserve"> </w:t>
      </w:r>
      <w:r>
        <w:rPr>
          <w:i/>
        </w:rPr>
        <w:t xml:space="preserve">str()</w:t>
      </w:r>
      <w:r>
        <w:t xml:space="preserve"> </w:t>
      </w:r>
      <w:r>
        <w:t xml:space="preserve">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númericos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da Alimento A resultou em um maior ganho de peso pelos gastropodes do que a Alimento B. Mas será que o que observamos grafica e numericamente se reflete estatisticamente? Vamos a nossa avaliação dos pressupostos do teste-t para duas amostras e se cumpridos para a avaliação do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 p-value 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 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da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 e diferente de 0.</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w:t>
      </w:r>
    </w:p>
    <w:p>
      <w:pPr>
        <w:pStyle w:val="BodyText"/>
      </w:pPr>
      <w:r>
        <w:t xml:space="preserve">HA: A média da temperatura é diferente entre os anos;</w:t>
      </w:r>
    </w:p>
    <w:p>
      <w:pPr>
        <w:pStyle w:val="BodyText"/>
      </w:pPr>
      <w:r>
        <w:t xml:space="preserve">Com a hipótese construída vamos verificar a estrutura dos dados (modificar se necessário) e sumarizar nossos dados gráfica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 ano 0 (Figura</w:t>
      </w:r>
      <w:r>
        <w:t xml:space="preserve"> </w:t>
      </w:r>
      <w:r>
        <w:t xml:space="preserve">4.10</w:t>
      </w:r>
      <w:r>
        <w:t xml:space="preserve">), o histograma dos valores de temperatura no ano 0 (Figura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w:t>
      </w:r>
      <w:r>
        <w:t xml:space="preserve"> </w:t>
      </w:r>
      <w:r>
        <w:rPr>
          <w:i/>
        </w:rPr>
        <w:t xml:space="preserve">summarySE()</w:t>
      </w:r>
      <w:r>
        <w:t xml:space="preserve"> </w:t>
      </w:r>
      <w:r>
        <w:t xml:space="preserve">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 p-value foi menor que 0,01 (lembrar que como o nível de confiança foi alterado para 0,99 a significância só ocorrerá se o p-value for menor que 0,01, como é o caso). Porém podemos ver que não há muita diferença em relação aos valores de ambos os teste-t, pois como comunicamos a aplicação do teste-t de Welch apresenta maior importância quando as variâncias são desiguais e o número amostral de um dos grupos é muito pequeno.</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w:t>
      </w:r>
      <w:r>
        <w:t xml:space="preserve"> </w:t>
      </w:r>
      <w:r>
        <w:t xml:space="preserve">“</w:t>
      </w:r>
      <w:r>
        <w:t xml:space="preserve">webr</w:t>
      </w:r>
      <w:r>
        <w:t xml:space="preserve">”</w:t>
      </w:r>
      <w:r>
        <w:t xml:space="preserve"> </w:t>
      </w:r>
      <w:r>
        <w:t xml:space="preserve">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99" w:name="teste-t-pareado"/>
      <w:r>
        <w:t xml:space="preserve">4.3	Teste-t pareado</w:t>
      </w:r>
      <w:bookmarkEnd w:id="99"/>
    </w:p>
    <w:p>
      <w:pPr>
        <w:pStyle w:val="FirstParagraph"/>
      </w:pPr>
      <w:r>
        <w:t xml:space="preserve">Aplicamos este teste quando as duas amostras de uma variável categórica são independentes e desejamos verificar se elas são similares entre si. Contudo cada observação de ambas as amostras devem de alguma forma estar associadas para podermos dizer que ocorrem em pares. Neste caso as hipóteses são as seguintes:</w:t>
      </w:r>
    </w:p>
    <w:p>
      <w:pPr>
        <w:pStyle w:val="BodyText"/>
      </w:pPr>
      <w:r>
        <w:t xml:space="preserve">H0: Não há diferença entre os pares de observações;</w:t>
      </w:r>
    </w:p>
    <w:p>
      <w:pPr>
        <w:pStyle w:val="BodyText"/>
      </w:pPr>
      <w:r>
        <w:t xml:space="preserve">HA: Há diferença entre os pares de observações;</w:t>
      </w:r>
    </w:p>
    <w:p>
      <w:pPr>
        <w:pStyle w:val="BodyText"/>
      </w:pPr>
      <w:r>
        <w:t xml:space="preserve">Matematicamente pode ser dita da seguinte forma:</w:t>
      </w:r>
    </w:p>
    <w:p>
      <w:pPr>
        <w:pStyle w:val="BodyText"/>
      </w:pPr>
      <w:r>
        <w:t xml:space="preserve">H0: A diferença na média dos pares de observações é igual a 0;</w:t>
      </w:r>
    </w:p>
    <w:p>
      <w:pPr>
        <w:pStyle w:val="BodyText"/>
      </w:pPr>
      <w:r>
        <w:t xml:space="preserve">HA: A diferença na média dos pares de observações é diferente de 0;</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a modificando se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 momento não entraremos em detalhes sobre os comandos aplicados para construção desses dados. Caso seja do seu interesse consulte o apêndice, no final do livro.</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Agora definimos nossas hipóteses</w:t>
      </w:r>
    </w:p>
    <w:p>
      <w:pPr>
        <w:pStyle w:val="BodyText"/>
      </w:pPr>
      <w:r>
        <w:t xml:space="preserve">H0: Não há diferença entre os pares de observações dos pesquisadores;</w:t>
      </w:r>
    </w:p>
    <w:p>
      <w:pPr>
        <w:pStyle w:val="BodyText"/>
      </w:pPr>
      <w:r>
        <w:t xml:space="preserve">HA: Há diferença entre os pares de observações dos pesquisadores;</w:t>
      </w:r>
    </w:p>
    <w:p>
      <w:pPr>
        <w:pStyle w:val="BodyText"/>
      </w:pPr>
      <w:r>
        <w:t xml:space="preserve">Vamos sumarizar os dados gráfica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verificar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mudança na escrita do comando para construção para o boxplot. Desta não mais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variáveis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w:t>
      </w:r>
      <w:r>
        <w:t xml:space="preserve"> </w:t>
      </w:r>
      <w:r>
        <w:rPr>
          <w:i/>
        </w:rPr>
        <w:t xml:space="preserve">summary()</w:t>
      </w:r>
      <w:r>
        <w:t xml:space="preserve"> </w:t>
      </w:r>
      <w:r>
        <w:t xml:space="preserve">já sumariza de maneira adequada nossos dados.</w:t>
      </w:r>
    </w:p>
    <w:p>
      <w:pPr>
        <w:pStyle w:val="BodyText"/>
      </w:pPr>
      <w:r>
        <w:t xml:space="preserve">Em relação ao resumo dos nossos dados podemos observar que o observador 2 contabilizou um número maior de aves que o observador 1, mas será que a diferença no número de observações é nulo (0) ou é diferente. ou seja será que a média de observação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a diferença entre os observadores é ligeiramente diferente a um nível de confiança de 95%, visto que o</w:t>
      </w:r>
      <w:r>
        <w:t xml:space="preserve"> </w:t>
      </w:r>
      <w:r>
        <w:t xml:space="preserve">“</w:t>
      </w:r>
      <w:r>
        <w:t xml:space="preserve">p-value</w:t>
      </w:r>
      <w:r>
        <w:t xml:space="preserve">”</w:t>
      </w:r>
      <w:r>
        <w:t xml:space="preserve"> </w:t>
      </w:r>
      <w:r>
        <w:t xml:space="preserve">é próximo à 0,05 e na última linha nos é indicado que a média da diferença das observações é de -1,2. Em outras palavras o teste nos diz que a média das diferenças é diferente de 0,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w:t>
      </w:r>
      <w:r>
        <w:t xml:space="preserve"> </w:t>
      </w:r>
      <w:r>
        <w:t xml:space="preserve">“</w:t>
      </w:r>
      <w:r>
        <w:t xml:space="preserve">webr</w:t>
      </w:r>
      <w:r>
        <w:t xml:space="preserve">”</w:t>
      </w:r>
      <w:r>
        <w:t xml:space="preserve"> </w:t>
      </w:r>
      <w:r>
        <w:t xml:space="preserve">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vamos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 observador 1 e as barras para baixo indicam um maior número de observações de aves pelo observador 2. Vamos indicar isso no gráfico por meio da função</w:t>
      </w:r>
      <w:r>
        <w:t xml:space="preserve"> </w:t>
      </w:r>
      <w:r>
        <w:rPr>
          <w:i/>
        </w:rPr>
        <w:t xml:space="preserve">mtext()</w:t>
      </w:r>
      <w:r>
        <w:t xml:space="preserve"> </w:t>
      </w:r>
      <w:r>
        <w:t xml:space="preserve">(Figura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w:t>
      </w:r>
      <w:r>
        <w:t xml:space="preserve"> </w:t>
      </w:r>
      <w:r>
        <w:rPr>
          <w:i/>
        </w:rPr>
        <w:t xml:space="preserve">mtext()</w:t>
      </w:r>
      <w:r>
        <w:t xml:space="preserve"> </w:t>
      </w:r>
      <w:r>
        <w:t xml:space="preserve">indicou os nomes Observador 1 e Observador 2 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1"/>
      </w:pPr>
      <w:bookmarkStart w:id="106" w:name="final-words"/>
      <w:r>
        <w:t xml:space="preserve">5	Final Words</w:t>
      </w:r>
      <w:bookmarkEnd w:id="106"/>
    </w:p>
    <w:p>
      <w:pPr>
        <w:pStyle w:val="FirstParagraph"/>
      </w:pPr>
      <w:r>
        <w:t xml:space="preserve">We have finished a nice book.</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não está ativado,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6">
    <w:p>
      <w:pPr>
        <w:pStyle w:val="FootnoteText"/>
      </w:pPr>
      <w:r>
        <w:rPr>
          <w:rStyle w:val="FootnoteReference"/>
        </w:rPr>
        <w:footnoteRef/>
      </w:r>
      <w:r>
        <w:t xml:space="preserve"> </w:t>
      </w:r>
      <w:r>
        <w:t xml:space="preserve">No próximo capítulo ensinaremos a como definir o ambiente de trabalho</w:t>
      </w:r>
    </w:p>
  </w:footnote>
  <w:footnote w:id="45">
    <w:p>
      <w:pPr>
        <w:pStyle w:val="FootnoteText"/>
      </w:pPr>
      <w:r>
        <w:rPr>
          <w:rStyle w:val="FootnoteReference"/>
        </w:rPr>
        <w:footnoteRef/>
      </w:r>
      <w:r>
        <w:t xml:space="preserve"> </w:t>
      </w:r>
      <w:r>
        <w:t xml:space="preserve">Ver figura</w:t>
      </w:r>
      <w:r>
        <w:t xml:space="preserve"> </w:t>
      </w:r>
      <w:r>
        <w:t xml:space="preserve">1.6</w:t>
      </w:r>
    </w:p>
  </w:footnote>
  <w:footnote w:id="50">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6">
    <w:p>
      <w:pPr>
        <w:pStyle w:val="FootnoteText"/>
      </w:pPr>
      <w:r>
        <w:rPr>
          <w:rStyle w:val="FootnoteReference"/>
        </w:rPr>
        <w:footnoteRef/>
      </w:r>
      <w:r>
        <w:t xml:space="preserve"> </w:t>
      </w:r>
      <w:r>
        <w:t xml:space="preserve">tibble e data frame são em termos práticos objetos similares</w:t>
      </w:r>
    </w:p>
  </w:footnote>
  <w:footnote w:id="79">
    <w:p>
      <w:pPr>
        <w:pStyle w:val="FootnoteText"/>
      </w:pPr>
      <w:r>
        <w:rPr>
          <w:rStyle w:val="FootnoteReference"/>
        </w:rPr>
        <w:footnoteRef/>
      </w:r>
      <w:r>
        <w:t xml:space="preserve"> </w:t>
      </w:r>
      <w:r>
        <w:t xml:space="preserve">Zar, J. H. (2010). Biostatistical analysis (5th ed.). Upper Saddle River, N.J.: Prentice-Hall/Pearson.</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2" Target="media/rId62.pn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02" Target="media/rId102.png" /><Relationship Type="http://schemas.openxmlformats.org/officeDocument/2006/relationships/image" Id="rId97" Target="media/rId9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análise de dados em R: Uma abordagem ambiental e ecológica</dc:title>
  <dc:creator>Wilson Souza &amp; Thiago Couto</dc:creator>
  <cp:keywords/>
  <dcterms:created xsi:type="dcterms:W3CDTF">2020-12-06T01:48:14Z</dcterms:created>
  <dcterms:modified xsi:type="dcterms:W3CDTF">2020-12-06T01:48:14Z</dcterms:modified>
</cp:coreProperties>
</file>