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62,1 persen peminjam berada dalam satu segmen dengan tingkat charged-off 14,4 persen, hampir dua kali lipat segmen prime (7,8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traktabel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winsorisasi data-driven pada fitur kontinu ber-|skew| di atas 1 (dengan penjaga anti-kolaps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0,357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62,1 persen peminjam berada di satu segmen dengan tingkat charged-off 14,4 persen, hampir dua kali lipat segmen prime (7,8 persen).</w:t>
      </w:r>
    </w:p>
    <w:p>
      <w:pPr>
        <w:pStyle w:val="Heading3"/>
      </w:pPr>
      <w:r>
        <w:t>Evidence</w:t>
      </w:r>
    </w:p>
    <w:p>
      <w:r>
        <w:rPr>
          <w:b w:val="0"/>
          <w:i w:val="0"/>
        </w:rPr>
        <w:t>Segmentasi K-Means membelah populasi menjadi dua. Cluster 0 (dinamai Higher-risk) mencakup 62,1 persen peminjam dengan tingkat charged-off 14,4 persen; Cluster 1 (Prime) mencakup 37,9 persen dengan charged-off 7,8 persen. Tingkat di sini dihitung dari status Charged Off saja (rata-rata populasi 11,9 persen). Dalam satuan simpangan baku (selisih z-score antar cluster, konsisten dengan radar profil Phase 2), pembeda paling tajam adalah FICO (1,15 SD; 684 berbanding 722), disusul ukuran pinjaman (0,87 SD; 12 ribu berbanding 20 ribu dolar) dan utilisasi revolving (0,85 SD; 58 berbanding 37 persen); gap penghasilan besar secara nominal (63 ribu berbanding 102 ribu dolar) tetapi hanya 0,35 SD karena varians penghasilan sangat lebar.</w:t>
      </w:r>
    </w:p>
    <w:p>
      <w:pPr>
        <w:pStyle w:val="Heading3"/>
      </w:pPr>
      <w:r>
        <w:t>Corroboration</w:t>
      </w:r>
    </w:p>
    <w:p>
      <w:r>
        <w:rPr>
          <w:b w:val="0"/>
          <w:i w:val="0"/>
        </w:rPr>
        <w:t>Hierarchical clustering linkage Ward menghasilkan pembagian dua kelompok serupa (Adjusted Rand Index 0,357,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0,357</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korroborasi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
  <cp:revision>1</cp:revision>
  <dcterms:created xsi:type="dcterms:W3CDTF">2026-07-25T09:00:00Z</dcterms:created>
  <dcterms:modified xsi:type="dcterms:W3CDTF">2026-07-25T09:00:00Z</dcterms:modified>
  <cp:category/>
</cp:coreProperties>
</file>