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Cross-Section Duplication Review – Rewrite / Update Candidates</w:t>
      </w:r>
    </w:p>
    <w:p>
      <w:r>
        <w:rPr>
          <w:sz w:val="18"/>
        </w:rPr>
        <w:t>This table retains the original four-column review format and includes only overlaps where an edit or update is recommended. The human-in-the-loop item is included as a strong duplicate requiring a light edit; the remaining items benefit from a more technical Section 2 treatment.</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2232"/>
            <w:vAlign w:val="center"/>
            <w:shd w:fill="D9EAF7"/>
          </w:tcPr>
          <w:p>
            <w:pPr>
              <w:jc w:val="center"/>
            </w:pPr>
            <w:r>
              <w:rPr>
                <w:b/>
                <w:sz w:val="18"/>
              </w:rPr>
              <w:t>Area of overlap</w:t>
            </w:r>
          </w:p>
        </w:tc>
        <w:tc>
          <w:tcPr>
            <w:tcW w:type="dxa" w:w="4608"/>
            <w:vAlign w:val="center"/>
            <w:shd w:fill="D9EAF7"/>
          </w:tcPr>
          <w:p>
            <w:pPr>
              <w:jc w:val="center"/>
            </w:pPr>
            <w:r>
              <w:rPr>
                <w:b/>
                <w:sz w:val="18"/>
              </w:rPr>
              <w:t>Section 1</w:t>
            </w:r>
          </w:p>
        </w:tc>
        <w:tc>
          <w:tcPr>
            <w:tcW w:type="dxa" w:w="4608"/>
            <w:vAlign w:val="center"/>
            <w:shd w:fill="D9EAF7"/>
          </w:tcPr>
          <w:p>
            <w:pPr>
              <w:jc w:val="center"/>
            </w:pPr>
            <w:r>
              <w:rPr>
                <w:b/>
                <w:sz w:val="18"/>
              </w:rPr>
              <w:t>Section 2</w:t>
            </w:r>
          </w:p>
        </w:tc>
        <w:tc>
          <w:tcPr>
            <w:tcW w:type="dxa" w:w="5256"/>
            <w:vAlign w:val="center"/>
            <w:shd w:fill="D9EAF7"/>
          </w:tcPr>
          <w:p>
            <w:pPr>
              <w:jc w:val="center"/>
            </w:pPr>
            <w:r>
              <w:rPr>
                <w:b/>
                <w:sz w:val="18"/>
              </w:rPr>
              <w:t>Recommendations</w:t>
            </w:r>
          </w:p>
        </w:tc>
      </w:tr>
      <w:tr>
        <w:tc>
          <w:tcPr>
            <w:tcW w:type="dxa" w:w="2232"/>
            <w:vAlign w:val="top"/>
          </w:tcPr>
          <w:p>
            <w:pPr>
              <w:spacing w:after="80"/>
            </w:pPr>
            <w:r/>
            <w:r>
              <w:rPr>
                <w:sz w:val="16"/>
              </w:rPr>
              <w:t>Human review before transfer to downstream systems</w:t>
            </w:r>
          </w:p>
        </w:tc>
        <w:tc>
          <w:tcPr>
            <w:tcW w:type="dxa" w:w="4608"/>
            <w:vAlign w:val="top"/>
          </w:tcPr>
          <w:p>
            <w:pPr>
              <w:spacing w:after="80"/>
            </w:pPr>
            <w:r/>
            <w:r>
              <w:rPr>
                <w:b/>
                <w:sz w:val="16"/>
              </w:rPr>
              <w:t>Strength – Human-in-the-Loop Governance Model</w:t>
            </w:r>
          </w:p>
          <w:p>
            <w:pPr>
              <w:spacing w:after="80"/>
            </w:pPr>
            <w:r>
              <w:rPr>
                <w:sz w:val="16"/>
              </w:rPr>
              <w:t>User review and approval are mandatory before outputs can be transferred into downstream systems. This preserves professional judgement, reduces the risk of inappropriate reliance on AI-generated content and provides an important governance control within operational workflows.</w:t>
            </w:r>
          </w:p>
        </w:tc>
        <w:tc>
          <w:tcPr>
            <w:tcW w:type="dxa" w:w="4608"/>
            <w:vAlign w:val="top"/>
          </w:tcPr>
          <w:p>
            <w:pPr>
              <w:spacing w:after="80"/>
            </w:pPr>
            <w:r/>
            <w:r>
              <w:rPr>
                <w:b/>
                <w:sz w:val="16"/>
              </w:rPr>
              <w:t>Strength – Human-in-the-loop governance for AI outputs</w:t>
            </w:r>
          </w:p>
          <w:p>
            <w:pPr>
              <w:spacing w:after="80"/>
            </w:pPr>
            <w:r>
              <w:rPr>
                <w:sz w:val="16"/>
              </w:rPr>
              <w:t>AI-generated summaries are never automatically propagated into operational systems. Users must review and approve outputs before transfer, reducing the risk of AI-generated inaccuracies becoming part of the official record.</w:t>
            </w:r>
          </w:p>
        </w:tc>
        <w:tc>
          <w:tcPr>
            <w:tcW w:type="dxa" w:w="5256"/>
            <w:vAlign w:val="top"/>
          </w:tcPr>
          <w:p>
            <w:pPr>
              <w:spacing w:after="80"/>
            </w:pPr>
            <w:r/>
            <w:r>
              <w:rPr>
                <w:b/>
                <w:sz w:val="16"/>
              </w:rPr>
              <w:t>Recommendation: Strong duplicate – light edit recommended. Keep the fuller governance and business rationale in Section 1. In Section 2, retain only a concise implementation statement so the same benefit is not described twice.</w:t>
            </w:r>
          </w:p>
          <w:p>
            <w:pPr>
              <w:spacing w:after="80"/>
            </w:pPr>
            <w:r>
              <w:rPr>
                <w:b/>
                <w:sz w:val="16"/>
              </w:rPr>
              <w:t>Example rewrite for Section 2:</w:t>
              <w:br/>
              <w:t>The workflow requires user review and approval before content is transferred into downstream operational or case-management systems; AI-generated outputs are not automatically propagated.</w:t>
            </w:r>
          </w:p>
        </w:tc>
      </w:tr>
      <w:tr>
        <w:tc>
          <w:tcPr>
            <w:tcW w:type="dxa" w:w="2232"/>
            <w:vAlign w:val="top"/>
          </w:tcPr>
          <w:p>
            <w:pPr>
              <w:spacing w:after="80"/>
            </w:pPr>
            <w:r/>
            <w:r>
              <w:rPr>
                <w:sz w:val="16"/>
              </w:rPr>
              <w:t>Version history for AI-generated summaries</w:t>
            </w:r>
          </w:p>
        </w:tc>
        <w:tc>
          <w:tcPr>
            <w:tcW w:type="dxa" w:w="4608"/>
            <w:vAlign w:val="top"/>
          </w:tcPr>
          <w:p>
            <w:pPr>
              <w:spacing w:after="80"/>
            </w:pPr>
            <w:r/>
            <w:r>
              <w:rPr>
                <w:b/>
                <w:sz w:val="16"/>
              </w:rPr>
              <w:t>Strength – Defined Storage and Retention Controls</w:t>
            </w:r>
          </w:p>
          <w:p>
            <w:pPr>
              <w:spacing w:after="80"/>
            </w:pPr>
            <w:r>
              <w:rPr>
                <w:sz w:val="16"/>
              </w:rPr>
              <w:t>The platform includes clearly defined storage and retention arrangements. Audio recordings are retained only for transcription processing and are deleted following successful transcription. Transcripts and summaries are retained for a defined period and remain available for retrieval and export. Version history is maintained for AI-generated summaries, supporting transparency and traceability.</w:t>
            </w:r>
          </w:p>
        </w:tc>
        <w:tc>
          <w:tcPr>
            <w:tcW w:type="dxa" w:w="4608"/>
            <w:vAlign w:val="top"/>
          </w:tcPr>
          <w:p>
            <w:pPr>
              <w:spacing w:after="80"/>
            </w:pPr>
            <w:r/>
            <w:r>
              <w:rPr>
                <w:b/>
                <w:sz w:val="16"/>
              </w:rPr>
              <w:t>Strength – Version-controlled AI summary management</w:t>
            </w:r>
          </w:p>
          <w:p>
            <w:pPr>
              <w:spacing w:after="80"/>
            </w:pPr>
            <w:r>
              <w:rPr>
                <w:sz w:val="16"/>
              </w:rPr>
              <w:t>AI-generated summaries maintain version history, enabling users to track changes, compare revisions, and understand the evolution of content over time. This is particularly valuable where AI-assisted outputs may be edited prior to approval.</w:t>
            </w:r>
          </w:p>
          <w:p>
            <w:pPr>
              <w:spacing w:after="80"/>
            </w:pPr>
            <w:r>
              <w:rPr>
                <w:b/>
                <w:sz w:val="16"/>
              </w:rPr>
              <w:t>Limitation – Unconfirmed version-history coverage</w:t>
            </w:r>
          </w:p>
          <w:p>
            <w:pPr>
              <w:spacing w:after="80"/>
            </w:pPr>
            <w:r>
              <w:rPr>
                <w:sz w:val="16"/>
              </w:rPr>
              <w:t>Version history is available for AI-generated summary rewrites, but it is not clear whether equivalent version tracking exists for user edits, approvals, or other content changes. This may create gaps in auditability across the full content lifecycle.</w:t>
            </w:r>
          </w:p>
        </w:tc>
        <w:tc>
          <w:tcPr>
            <w:tcW w:type="dxa" w:w="5256"/>
            <w:vAlign w:val="top"/>
          </w:tcPr>
          <w:p>
            <w:pPr>
              <w:spacing w:after="80"/>
            </w:pPr>
            <w:r/>
            <w:r>
              <w:rPr>
                <w:b/>
                <w:sz w:val="16"/>
              </w:rPr>
              <w:t>Recommendation: Update Section 2 so it does not repeat the Section 1 strength. Section 2 should instead focus on the technical scope and limitation of version control.</w:t>
            </w:r>
          </w:p>
          <w:p>
            <w:pPr>
              <w:spacing w:after="80"/>
            </w:pPr>
            <w:r>
              <w:rPr>
                <w:b/>
                <w:sz w:val="16"/>
              </w:rPr>
              <w:t>Example rewrite for Section 2:</w:t>
              <w:br/>
              <w:t>Version history is available for AI-generated summary rewrites. However, the available evidence does not confirm whether equivalent version tracking applies to user edits, approvals or other content changes. Further technical clarification is therefore required to establish version-control coverage across the full content lifecycle and identify any resulting auditability gaps.</w:t>
            </w:r>
          </w:p>
        </w:tc>
      </w:tr>
      <w:tr>
        <w:tc>
          <w:tcPr>
            <w:tcW w:type="dxa" w:w="2232"/>
            <w:vAlign w:val="top"/>
          </w:tcPr>
          <w:p>
            <w:pPr>
              <w:spacing w:after="80"/>
            </w:pPr>
            <w:r/>
            <w:r>
              <w:rPr>
                <w:sz w:val="16"/>
              </w:rPr>
              <w:t>Connectivity resilience / local recording storage</w:t>
            </w:r>
          </w:p>
        </w:tc>
        <w:tc>
          <w:tcPr>
            <w:tcW w:type="dxa" w:w="4608"/>
            <w:vAlign w:val="top"/>
          </w:tcPr>
          <w:p>
            <w:pPr>
              <w:spacing w:after="80"/>
            </w:pPr>
            <w:r/>
            <w:r>
              <w:rPr>
                <w:b/>
                <w:sz w:val="16"/>
              </w:rPr>
              <w:t>Strength – Multi-Speaker, Session and Resilience Capabilities</w:t>
            </w:r>
          </w:p>
          <w:p>
            <w:pPr>
              <w:spacing w:after="80"/>
            </w:pPr>
            <w:r>
              <w:rPr>
                <w:sz w:val="16"/>
              </w:rPr>
              <w:t>The solution supports speaker diarisation and can distinguish between multiple participants within a conversation. It accommodates both short interactions and extended multi-hour sessions, with pause and resume functionality available throughout recording. Local audio preservation and re-upload capabilities allow recordings to continue through temporary connectivity or operating-system interruptions, contributing to operational resilience. No evidence was identified to suggest that session duration alone materially degrades output quality.</w:t>
            </w:r>
          </w:p>
        </w:tc>
        <w:tc>
          <w:tcPr>
            <w:tcW w:type="dxa" w:w="4608"/>
            <w:vAlign w:val="top"/>
          </w:tcPr>
          <w:p>
            <w:r/>
            <w:r>
              <w:rPr>
                <w:b/>
                <w:sz w:val="16"/>
              </w:rPr>
              <w:t>Strength – Resilience in low-connectivity environments</w:t>
            </w:r>
          </w:p>
          <w:p>
            <w:r>
              <w:rPr>
                <w:sz w:val="16"/>
              </w:rPr>
              <w:t>Recordings can be retained locally and automatically re-uploaded when connectivity is restored, allowing the solution to be used in environments with intermittent or unreliable network access. This significantly improves operational usability compared with cloud-only recording solutions.</w:t>
            </w:r>
          </w:p>
        </w:tc>
        <w:tc>
          <w:tcPr>
            <w:tcW w:type="dxa" w:w="5256"/>
            <w:vAlign w:val="top"/>
          </w:tcPr>
          <w:p>
            <w:r/>
            <w:r>
              <w:rPr>
                <w:b/>
                <w:sz w:val="16"/>
              </w:rPr>
              <w:t>Recommendation:</w:t>
            </w:r>
            <w:r>
              <w:rPr>
                <w:sz w:val="16"/>
              </w:rPr>
              <w:t xml:space="preserve"> Keep the operational resilience message in Section 1. In Section 2, retain this as a Strength and make the technical mechanism explicit by identifying IndexedDB as the browser-based storage used to preserve recordings during temporary connectivity interruptions. Remove the separate connectivity limitation, as fully offline transcription or summarisation is not a stated requirement.</w:t>
            </w:r>
          </w:p>
          <w:p>
            <w:r>
              <w:rPr>
                <w:b/>
                <w:sz w:val="16"/>
              </w:rPr>
              <w:t>Example rewrite for Section 2:</w:t>
            </w:r>
          </w:p>
          <w:p>
            <w:r>
              <w:rPr>
                <w:sz w:val="16"/>
              </w:rPr>
              <w:t>The solution uses browser-based IndexedDB storage to retain recordings locally during temporary connectivity interruptions and supports automatic re-upload when connectivity is restored. This provides resilience for audio capture in environments with intermittent or unreliable network access.</w:t>
            </w:r>
          </w:p>
        </w:tc>
      </w:tr>
      <w:tr>
        <w:tc>
          <w:tcPr>
            <w:tcW w:type="dxa" w:w="2232"/>
            <w:vAlign w:val="top"/>
          </w:tcPr>
          <w:p>
            <w:pPr>
              <w:spacing w:after="80"/>
            </w:pPr>
            <w:r/>
            <w:r>
              <w:rPr>
                <w:sz w:val="16"/>
              </w:rPr>
              <w:t>Manual transfer and lack of automated downstream integration</w:t>
            </w:r>
          </w:p>
        </w:tc>
        <w:tc>
          <w:tcPr>
            <w:tcW w:type="dxa" w:w="4608"/>
            <w:vAlign w:val="top"/>
          </w:tcPr>
          <w:p>
            <w:pPr>
              <w:spacing w:after="80"/>
            </w:pPr>
            <w:r/>
            <w:r>
              <w:rPr>
                <w:b/>
                <w:sz w:val="16"/>
              </w:rPr>
              <w:t>Limitation – Limited Integration Capability</w:t>
            </w:r>
          </w:p>
          <w:p>
            <w:pPr>
              <w:spacing w:after="80"/>
            </w:pPr>
            <w:r>
              <w:rPr>
                <w:sz w:val="16"/>
              </w:rPr>
              <w:t>Current workflows primarily rely on exporting or copying approved content into downstream systems. Direct integration with operational platforms was not evidenced and telephone-based transcription is not currently supported. While consistent with the platform's human-review model, this limits automation opportunities and may require additional integration effort for DWP adoption.</w:t>
            </w:r>
          </w:p>
        </w:tc>
        <w:tc>
          <w:tcPr>
            <w:tcW w:type="dxa" w:w="4608"/>
            <w:vAlign w:val="top"/>
          </w:tcPr>
          <w:p>
            <w:pPr>
              <w:spacing w:after="80"/>
            </w:pPr>
            <w:r/>
            <w:r>
              <w:rPr>
                <w:b/>
                <w:sz w:val="16"/>
              </w:rPr>
              <w:t>Limitation – Limited integration and automation capabilities</w:t>
            </w:r>
          </w:p>
          <w:p>
            <w:pPr>
              <w:spacing w:after="80"/>
            </w:pPr>
            <w:r>
              <w:rPr>
                <w:sz w:val="16"/>
              </w:rPr>
              <w:t>The solution relies primarily on manual processes, with users required to copy and paste approved outputs into downstream case-management or operational systems. No automated integration with case-management platforms has been described, limiting opportunities for end-to-end workflow automation and increasing operational overhead. It is however a design choice, forcing a human-in-the loop approach.</w:t>
            </w:r>
          </w:p>
        </w:tc>
        <w:tc>
          <w:tcPr>
            <w:tcW w:type="dxa" w:w="5256"/>
            <w:vAlign w:val="top"/>
          </w:tcPr>
          <w:p>
            <w:pPr>
              <w:spacing w:after="80"/>
            </w:pPr>
            <w:r/>
            <w:r>
              <w:rPr>
                <w:b/>
                <w:sz w:val="16"/>
              </w:rPr>
              <w:t>Recommendation: Keep the operational limitation in Section 1. Rewrite Section 2 to make clear that the absence of automated downstream integration is an intentional design choice used to preserve human review, rather than an unconfirmed technical gap.</w:t>
            </w:r>
          </w:p>
          <w:p>
            <w:pPr>
              <w:spacing w:after="80"/>
            </w:pPr>
            <w:r>
              <w:rPr>
                <w:b/>
                <w:sz w:val="16"/>
              </w:rPr>
              <w:t>Example rewrite for Section 2:</w:t>
              <w:br/>
              <w:t>The solution intentionally relies on manual transfer of approved outputs into downstream case-management or operational systems. Automated downstream integration is not part of the current operating model, reflecting a deliberate design choice to retain a human review and approval step before content enters operational systems.</w:t>
            </w:r>
          </w:p>
        </w:tc>
      </w:tr>
    </w:tbl>
    <w:p>
      <w:r>
        <w:rPr>
          <w:i/>
          <w:sz w:val="16"/>
        </w:rPr>
        <w:t>Note: The example rewrites are proposed editorial wording. IndexedDB and the intentional manual-integration design choice reflect clarification provided during the review; no additional technical capability is inferred beyond that information.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