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0"/>
        <w:jc w:val="center"/>
      </w:pPr>
      <w:r>
        <w:rPr>
          <w:rFonts w:ascii="Times New Roman" w:cs="Times New Roman" w:eastAsia="Times New Roman" w:hAnsi="Times New Roman"/>
          <w:b/>
          <w:bCs/>
          <w:caps w:val="false"/>
          <w:sz w:val="28"/>
          <w:szCs w:val="28"/>
        </w:rPr>
        <w:t xml:space="preserve">CONTRATO DE COMPRA E VENDA DE SEMOVENTES</w:t>
      </w:r>
    </w:p>
    <w:p>
      <w:pPr>
        <w:pBdr>
          <w:left w:val="single" w:color="999999" w:sz="12" w:space="8"/>
        </w:pBdr>
        <w:shd w:fill="F2F2F2" w:color="auto" w:val="clear"/>
        <w:spacing w:after="80" w:line="276"/>
        <w:ind w:left="340" w:right="200"/>
        <w:jc w:val="both"/>
      </w:pP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Base legal: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 arts. 481 a 532 do Código Civil; art. 441, parágrafo único (vício redibitório em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animais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, com prazos e usos próprios); art. 445, § 2º; Lei 8.171/91 (Política Agrícola); Lei 14.515/2022 (defesa agropecuária e autocontrole); Decreto 24.548/34 (Regulamento do Serviço de Defesa Sanitária Animal); Lei 12.097/2009 (rastreabilidade bovina/bubalina); normas do MAPA e do órgão estadual de defesa agropecuária quanto à </w:t>
      </w:r>
      <w:r>
        <w:rPr>
          <w:rFonts w:ascii="Times New Roman" w:cs="Times New Roman" w:eastAsia="Times New Roman" w:hAnsi="Times New Roman"/>
          <w:b/>
          <w:bCs/>
          <w:color w:val="333333"/>
          <w:sz w:val="20"/>
          <w:szCs w:val="20"/>
        </w:rPr>
        <w:t xml:space="preserve">GTA — Guia de Trânsito Animal</w:t>
      </w:r>
      <w:r>
        <w:rPr>
          <w:rFonts w:ascii="Times New Roman" w:cs="Times New Roman" w:eastAsia="Times New Roman" w:hAnsi="Times New Roman"/>
          <w:color w:val="333333"/>
          <w:sz w:val="20"/>
          <w:szCs w:val="20"/>
        </w:rPr>
        <w:t xml:space="preserve">.</w:t>
      </w:r>
    </w:p>
    <w:p>
      <w:pPr>
        <w:spacing w:after="120"/>
      </w:pPr>
      <w:r>
        <w:rPr>
          <w:sz w:val="8"/>
          <w:szCs w:val="8"/>
        </w:rPr>
        <w:t xml:space="preserve"/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QUALIFICAÇÃO DAS PARTES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VENDEDOR(A):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/ 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[nacionalidade]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[estado civil]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[produtor rural / pecuarista]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RG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CPF/CNPJ nº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Inscrição Estadual de Produtor Rural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residente na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[endereço]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proprietário 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Fazenda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situada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[município/UF]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cadastro no órgão estadual de defesa agropecuária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COMPRADOR(A):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[NOME / RAZÃO SOCIAL]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[qualificação completa]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Inscrição Estadual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destino dos animais 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Fazenda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[município/UF]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cadastro sanitário nº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PRIMEIRA — DO OBJETO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VENDEDOR vende ao COMPRADOR os semoventes a seguir descritos:</w:t>
      </w:r>
    </w:p>
    <w:tbl>
      <w:tblPr>
        <w:tblW w:type="dxa" w:w="9071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486"/>
        <w:gridCol w:w="719"/>
        <w:gridCol w:w="486"/>
        <w:gridCol w:w="2704"/>
        <w:gridCol w:w="599"/>
        <w:gridCol w:w="839"/>
        <w:gridCol w:w="599"/>
        <w:gridCol w:w="2639"/>
      </w:tblGrid>
      <w:tr>
        <w:trPr>
          <w:tblHeader/>
        </w:trPr>
        <w:tc>
          <w:tcPr>
            <w:tcW w:type="dxa" w:w="486"/>
            <w:shd w:fill="DDDDDD" w:color="auto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Lote</w:t>
            </w:r>
          </w:p>
        </w:tc>
        <w:tc>
          <w:tcPr>
            <w:tcW w:type="dxa" w:w="719"/>
            <w:shd w:fill="DDDDDD" w:color="auto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Espécie/Raça</w:t>
            </w:r>
          </w:p>
        </w:tc>
        <w:tc>
          <w:tcPr>
            <w:tcW w:type="dxa" w:w="486"/>
            <w:shd w:fill="DDDDDD" w:color="auto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Sexo</w:t>
            </w:r>
          </w:p>
        </w:tc>
        <w:tc>
          <w:tcPr>
            <w:tcW w:type="dxa" w:w="2704"/>
            <w:shd w:fill="DDDDDD" w:color="auto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Categoria (bezerro/novilha/matriz/reprodutor)</w:t>
            </w:r>
          </w:p>
        </w:tc>
        <w:tc>
          <w:tcPr>
            <w:tcW w:type="dxa" w:w="599"/>
            <w:shd w:fill="DDDDDD" w:color="auto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Quantidade</w:t>
            </w:r>
          </w:p>
        </w:tc>
        <w:tc>
          <w:tcPr>
            <w:tcW w:type="dxa" w:w="839"/>
            <w:shd w:fill="DDDDDD" w:color="auto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Idade/Dentição</w:t>
            </w:r>
          </w:p>
        </w:tc>
        <w:tc>
          <w:tcPr>
            <w:tcW w:type="dxa" w:w="599"/>
            <w:shd w:fill="DDDDDD" w:color="auto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Peso médio</w:t>
            </w:r>
          </w:p>
        </w:tc>
        <w:tc>
          <w:tcPr>
            <w:tcW w:type="dxa" w:w="2639"/>
            <w:shd w:fill="DDDDDD" w:color="auto" w:val="clear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16"/>
                <w:szCs w:val="16"/>
              </w:rPr>
              <w:t xml:space="preserve">Identificação (brinco/SISBOV/marca/registro)</w:t>
            </w:r>
          </w:p>
        </w:tc>
      </w:tr>
      <w:tr>
        <w:tc>
          <w:tcPr>
            <w:tcW w:type="dxa" w:w="486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719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486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2704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599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839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  <w:highlight w:val="yellow"/>
                <w:highlightCs w:val="yellow"/>
              </w:rPr>
              <w:t xml:space="preserve">[•]</w:t>
            </w:r>
          </w:p>
        </w:tc>
        <w:tc>
          <w:tcPr>
            <w:tcW w:type="dxa" w:w="599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  <w:highlight w:val="yellow"/>
                <w:highlightCs w:val="yellow"/>
              </w:rPr>
              <w:t xml:space="preserve">[•]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</w:rPr>
              <w:t xml:space="preserve"> kg</w:t>
            </w:r>
          </w:p>
        </w:tc>
        <w:tc>
          <w:tcPr>
            <w:tcW w:type="dxa" w:w="2639"/>
            <w:tcMar>
              <w:top w:type="dxa" w:w="60"/>
              <w:left w:type="dxa" w:w="50"/>
              <w:bottom w:type="dxa" w:w="60"/>
              <w:right w:type="dxa" w:w="50"/>
            </w:tcMar>
          </w:tcPr>
          <w:p>
            <w:pPr>
              <w:spacing w:after="0" w:line="240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6"/>
                <w:szCs w:val="16"/>
                <w:highlight w:val="yellow"/>
                <w:highlightCs w:val="yellow"/>
              </w:rPr>
              <w:t xml:space="preserve">[•]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Total: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cabeças.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[Animais registrados]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animais estão inscritos na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[associação de criadores]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sob os certificados de registro genealógico nºs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cujas vias originais serão entregues ao COMPRADOR no ato da tradição, com o termo de transferência de titularidade devidamente assinado.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animais foram vistoriados pelo COMPRADOR ou por seu preposto técnico, que declara conhecer seu estado sanitário, escore corporal e condições zootécnicas.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SEGUNDA — DO PREÇO E DO PAGAMENTO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preço é fixado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[por cabeça / por arroba / por quilo vivo]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 valor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perfazendo o total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[por extenso]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[Venda por peso]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pesagem será realizada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[balança da fazenda / balança do frigorífico / balança pública aferida pelo INMETRO]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às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horas, na presença de ambas as partes,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desconto/quebra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[por jejum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horas / por transporte], lavrando-se o respectivo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ticket de pesagem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integrará este contrato.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pagamento será feito: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(sinal), neste ato;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 ato da pesagem/embarque;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R$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parcelas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vencendo a primeira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[OPCIONAL: representadas por **Cédula de Produto Rural (CPR)** emitida na forma da Lei 8.929/94 / notas promissórias]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atraso implica multa de 2%, juros à taxa legal do art. 406 do Código Civil e correção pelo IPCA.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TERCEIRA — DA ENTREGA, TRADIÇÃO E TRANSPORTE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entrega dos animais ocorrerá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[dd/mm/aaaa]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 [embarcadouro da Fazenda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/ local: •], mediante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conferência de cabeças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assinatura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Termo de Entrega (Anexo I)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propriedade transfere-se com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tradição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1.267 do Código Civil), momento a partir do qual correm por conta do COMPRADOR os riscos de morte, fuga, doença, acidente e todas as despesas de manejo, alimentação e sanidade.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transporte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correrá por conta e risco do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[COMPRADOR / VENDEDOR]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que providenciará veículo adequado ao bem-estar animal, observadas as normas de transporte de animais vivos.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VENDEDOR obriga-se a emitir e entregar, no ato do embarque: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GTA — Guia de Trânsito Animal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válida e regularmente emitida pelo órgão estadual de defesa agropecuária;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Nota Fiscal de Produtor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(ou nota fiscal eletrônica);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atestados sanitários e comprovantes de vacinação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exigidos;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[se aplicável]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documentação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SISBOV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certificados genealógicos.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3.5.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ausência ou irregularidade da GTA impede o embarque e constitui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inadimplemento do VENDEDOR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respondendo este pelas diárias, fretes perdidos, multas administrativas e demais prejuízos.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QUARTA — DAS GARANTIAS SANITÁRIAS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VENDEDOR declara e garante que: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 rebanho de origem está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regularmente cadastrado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no órgão estadual de defesa agropecuária e em dia com as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campanhas oficiais de vacinação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[febre aftosa (onde exigida), brucelose, raiva, clostridioses]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os animais estão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livres de doenças infectocontagiosas de notificação obrigatória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notadamente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brucelose e tuberculose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exames laboratoriais realizados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[data]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pelo laboratório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credenciado, cujos laudos integram 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Anexo II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as fêmeas com idade igual ou superior a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meses foram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vacinadas contra brucelose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marcação a fogo (V + dígito do ano);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d) 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 propriedade de origem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não está sob interdição sanitária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nem em área de foco;</w:t>
      </w:r>
    </w:p>
    <w:p>
      <w:pPr>
        <w:spacing w:after="100" w:line="276"/>
        <w:ind w:left="760" w:right="0" w:hanging="34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e) 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[reprodutores]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machos destinados à reprodução foram submetidos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exame andrológico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 exames de doenças da reprodução (campilobacteriose e tricomonose), com resultados negativos.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[OPCIONAL — prenhez]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VENDEDOR garante que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fêmeas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 encontram prenhes, com diagnóstico de gestação realizado em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[data]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[médico veterinário / técnico]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conforme laudo anexo. Constatada, em reexame realizado em até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da tradição, a inexistência de prenhez, o COMPRADOR terá direito ao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abatimento proporcional do preço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ou à substituição do animal, à sua escolha.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QUINTA — DOS VÍCIOS REDIBITÓRIOS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Aplicam-se à presente venda os arts. 441 a 446 do Código Civil. Tratando-se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animais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o prazo para reclamar de vício oculto é o fixado 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lei especial ou, na sua falta, pelos usos locais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aplicando-se subsidiariamente a regra do art. 445 (art. 441, parágrafo único, e art. 445, § 2º).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As partes, para afastar controvérsia, ajustam o prazo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[30 (trinta)]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dias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contado da tradição, para que o COMPRADOR denuncie vício oculto que torne o animal impróprio ao uso a que se destina ou lhe diminua sensivelmente o valor, mediante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laudo de médico veterinário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5.3.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Confirmado o vício, poderá o COMPRADOR, à sua escolha: (i) rejeitar o animal, com devolução do preço proporcional e das despesas do contrato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ação redibitória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); ou (ii) reter o animal com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abatimento do preço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ação quanti minoris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sem prejuízo das perdas e danos se o VENDEDOR conhecia o vício (art. 443).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5.4.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constitui vício redibitório a morte ou o adoecimento decorrente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estresse de transporte, mudança de manejo, adaptação a nova pastagem ou dieta, ou fato posterior à tradição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imputável ao COMPRADOR.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SEXTA — DA MARCAÇÃO E IDENTIFICAÇÃO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Os animais são entregues com a marca a fogo/brinco do VENDEDOR, obrigando-se o COMPRADOR a promover, às suas expensas,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remarcação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a atualização dos registros de identificação individual, sem prejuízo da manutenção dos registros de rastreabilidade exigidos pela legislação.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SÉTIMA — DA RESOLUÇÃO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descumprimento de obrigação essencial sujeita a parte infratora 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multa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[10]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%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sobre o valor total do contrato, além das perdas e danos, facultada à parte inocente a resolução.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realizado o embarque na data ajustada por fato imputável ao COMPRADOR, responderá este pela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diária de manutenção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R$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por cabeça, a partir do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º dia de atraso, correndo por sua conta, desde então, os riscos dos animais.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CLÁUSULA OITAVA — DISPOSIÇÕES FINAIS E FORO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8.1.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Este contrato constitui título executivo extrajudicial (art. 784, III, do CPC).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8.2.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Fica eleito o foro da comarca de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[Cidade/UF]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[dd]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[mês]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[ano]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tbl>
      <w:tblPr>
        <w:tblW w:type="dxa" w:w="9071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535"/>
        <w:gridCol w:w="4536"/>
      </w:tblGrid>
      <w:tr>
        <w:tc>
          <w:tcPr>
            <w:tcW w:type="dxa" w:w="4535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VENDEDOR(A)</w:t>
            </w:r>
          </w:p>
        </w:tc>
        <w:tc>
          <w:tcPr>
            <w:tcW w:type="dxa" w:w="4536"/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000000" w:sz="6" w:space="1"/>
              </w:pBdr>
              <w:spacing w:after="40" w:before="240"/>
              <w:jc w:val="center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spacing w:after="16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COMPRADOR(A)</w:t>
            </w:r>
          </w:p>
        </w:tc>
      </w:tr>
    </w:tbl>
    <w:p>
      <w:pPr>
        <w:spacing w:after="120"/>
      </w:pPr>
      <w:r>
        <w:rPr>
          <w:sz w:val="8"/>
          <w:szCs w:val="8"/>
        </w:rPr>
        <w:t xml:space="preserve"/>
      </w:r>
    </w:p>
    <w:p>
      <w:pPr>
        <w:spacing w:after="140" w:line="276"/>
        <w:ind w:left="0" w:right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Testemunhas: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1.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2. ______________ CPF </w:t>
      </w:r>
      <w:r>
        <w:rPr>
          <w:rFonts w:ascii="Times New Roman" w:cs="Times New Roman" w:eastAsia="Times New Roman" w:hAnsi="Times New Roman"/>
          <w:sz w:val="24"/>
          <w:szCs w:val="24"/>
          <w:highlight w:val="yellow"/>
          <w:highlightCs w:val="yellow"/>
        </w:rPr>
        <w:t xml:space="preserve">[•]</w:t>
      </w:r>
    </w:p>
    <w:p>
      <w:pPr>
        <w:pBdr>
          <w:bottom w:val="single" w:color="BFBFBF" w:sz="6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pStyle w:val="Heading1"/>
        <w:keepNext/>
        <w:spacing w:after="140" w:before="300"/>
        <w:jc w:val="left"/>
      </w:pPr>
      <w:r>
        <w:rPr>
          <w:rFonts w:ascii="Times New Roman" w:cs="Times New Roman" w:eastAsia="Times New Roman" w:hAnsi="Times New Roman"/>
          <w:b/>
          <w:bCs/>
          <w:color w:val="1A1A1A"/>
          <w:sz w:val="24"/>
          <w:szCs w:val="24"/>
        </w:rPr>
        <w:t xml:space="preserve">Notas técnicas </w:t>
      </w:r>
      <w:r>
        <w:rPr>
          <w:rFonts w:ascii="Times New Roman" w:cs="Times New Roman" w:eastAsia="Times New Roman" w:hAnsi="Times New Roman"/>
          <w:b/>
          <w:bCs/>
          <w:i/>
          <w:iCs/>
          <w:color w:val="1A1A1A"/>
          <w:sz w:val="24"/>
          <w:szCs w:val="24"/>
        </w:rPr>
        <w:t xml:space="preserve">(remover da via final)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GTA é indispensável.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Sem Guia de Trânsito Animal o transporte é infração sanitária, sujeita à apreensão do lote e a multa. A emissão depende de o rebanho de origem estar em dia com as vacinações e o cadastro estadual — confira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antes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 assinar.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Vacinação contra febre aftosa.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Brasil vem consolidando o status de livre de febre aftosa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 vacinação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suspensão da vacinação em parte dos estados. As exigências variam por unidade da Federação e mudam com frequência: consulte o órgão estadual de defesa agropecuária na data do negócio e adapte a alínea "a" da cláusula 4.1.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Brucelose e tuberculose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(PNCEBT): exames obrigatórios para reprodução e para trânsito em diversas hipóteses; a vacinação de fêmeas entre 3 e 8 meses contra brucelose é obrigatória, com marcação a fogo.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Prazo de vício em animais.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art. 445, § 2º, remete a lei especial ou aos usos locais — que raramente são documentados. A fixação convencional da cláusula 5.2 evita litígio; mantenha-a.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CPR (Lei 8.929/94)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a garantia mais eficiente no agronegócio: título líquido, certo e exigível, registrável e passível de execução direta. Para venda a prazo de valor relevante, prefira-a às notas promissórias.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Gado alienado fiduciariamente ou penhorado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(garantia de custeio bancário) não pode ser vendido sem anuência do credor — exija certidão e verifique gravames junto à instituição financeira; a venda de bem gravado pode configurar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estelionato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(art. 171, § 2º, do CP).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Semovente é bem móvel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a transferência se dá pela tradição, mas o registro do contrato em RTD dá data certa e ajuda na prova em disputa sobre propriedade de rebanho.</w:t>
      </w:r>
    </w:p>
    <w:p>
      <w:pPr>
        <w:spacing w:after="100" w:line="276"/>
        <w:ind w:left="420" w:right="0" w:hanging="34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8. 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Funrural e ICMS.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A venda por produtor rural pessoa física atrai a contribuição do Funrural (Lei 8.212/91, art. 25) e o ICMS estadual, com regimes de diferimento variáveis. Alinhe com o contador antes de definir o preço líquido.</w:t>
      </w:r>
    </w:p>
    <w:sectPr>
      <w:footerReference w:type="default" r:id="rId7"/>
      <w:pgSz w:w="11906" w:h="16838" w:orient="portrait"/>
      <w:pgMar w:top="1134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4" w:space="6"/>
      </w:pBdr>
      <w:spacing w:after="0" w:before="120"/>
      <w:jc w:val="center"/>
    </w:pP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Minuta — conferir e adaptar antes do uso   |   </w:t>
    </w:r>
    <w:r>
      <w:rPr>
        <w:rFonts w:ascii="Times New Roman" w:cs="Times New Roman" w:eastAsia="Times New Roman" w:hAnsi="Times New Roman"/>
        <w:color w:val="444444"/>
        <w:sz w:val="16"/>
        <w:szCs w:val="16"/>
      </w:rPr>
      <w:t xml:space="preserve">Pág.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00"/>
      </w:pPr>
      <w:rPr>
        <w:rFonts w:ascii="Times New Roman" w:cs="Times New Roman" w:eastAsia="Times New Roman" w:hAnsi="Times New Roman"/>
      </w:rPr>
    </w:lvl>
    <w:lvl w:ilvl="1" w15:tentative="1">
      <w:start w:val="1"/>
      <w:numFmt w:val="bullet"/>
      <w:lvlText w:val="–"/>
      <w:lvlJc w:val="left"/>
      <w:pPr>
        <w:ind w:left="1080" w:hanging="300"/>
      </w:pPr>
      <w:rPr>
        <w:rFonts w:ascii="Times New Roman" w:cs="Times New Roman" w:eastAsia="Times New Roman" w:hAnsi="Times New Roman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60" w:hanging="300"/>
      </w:pPr>
      <w:rPr>
        <w:rFonts w:ascii="Times New Roman" w:cs="Times New Roman" w:eastAsia="Times New Roman" w:hAnsi="Times New Roman"/>
        <w:sz w:val="20"/>
        <w:szCs w:val="20"/>
      </w:rPr>
    </w:lvl>
    <w:lvl w:ilvl="1" w15:tentative="1">
      <w:start w:val="1"/>
      <w:numFmt w:val="bullet"/>
      <w:lvlText w:val="–"/>
      <w:lvlJc w:val="left"/>
      <w:pPr>
        <w:ind w:left="1400" w:hanging="300"/>
      </w:pPr>
      <w:rPr>
        <w:rFonts w:ascii="Times New Roman" w:cs="Times New Roman" w:eastAsia="Times New Roman" w:hAnsi="Times New Roman"/>
        <w:sz w:val="20"/>
        <w:szCs w:val="2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>
      <w:pPr>
        <w:spacing w:after="140" w:line="276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00"/>
      <w:jc w:val="left"/>
    </w:pPr>
    <w:rPr>
      <w:rFonts w:ascii="Times New Roman" w:cs="Times New Roman" w:eastAsia="Times New Roman" w:hAnsi="Times New Roman"/>
      <w:b/>
      <w:bCs/>
      <w:color w:val="1A1A1A"/>
      <w:sz w:val="24"/>
      <w:szCs w:val="24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CONTRATO DE COMPRA E VENDA DE SEMOVENTES</dc:title>
  <dc:creator>Acervo de Modelos Contratuais</dc:creator>
  <dc:description>Minuta contratual — modelo para adaptação</dc:description>
  <cp:lastModifiedBy>Un-named</cp:lastModifiedBy>
  <cp:revision>1</cp:revision>
  <dcterms:created xsi:type="dcterms:W3CDTF">2026-08-31T15:51:09.951Z</dcterms:created>
  <dcterms:modified xsi:type="dcterms:W3CDTF">2026-08-31T15:51:09.951Z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