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PRESTAÇÃO DE SERVIÇOS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593 a 609 do Código Civil; Lei 6.019/74, com as alterações das Leis 13.429/2017 e 13.467/2017 (terceirização de atividade-fim —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STF, ADPF 324 e Tema 725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art. 3º da CLT (elementos do vínculo de emprego, cuja ausência é essencial aqui).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 / 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CNPJ/CPF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cargo, CPF]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[RAZÃO SOCIAL / 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CNPJ/CPF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[inscrição municipal nº 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cargo, CPF]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e-mail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telefone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prestará à CONTRATANTE os serviços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[descrição precisa]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detalhados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 — Escopo de Serviços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integra este contrato.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serviços serão executados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[nas dependências da CONTRATADA / nas dependências da CONTRATANTE / remotamente]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autonomia técnica, organizacional e de horário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CONTRATADA, mediante emprego de seus próprios recursos, métodos e equipe.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integram o objeto os serviços não expressamente descritos no Anexo I, os quais, se demandados, serão objeto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ordem de serviço específica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preço e prazo próprios.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PRAZO E DO CRONOGRAMA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vigorará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[prorrogável automaticamente por iguais períodos, salvo denúncia escrita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 de antecedência]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entregas observarão o cronograma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cujos marcos e prazos são essenciais.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Prazos suspendem-se enquanto pendente providência a cargo da CONTRATANTE (aprovações, informações, acessos, insumos), prorrogando-se automaticamente pelo período da pendência.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DO PREÇO E DAS CONDIÇÕES DE PAGAMENTO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Pelos serviços, a CONTRATANTE pagará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mensais / 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pelo total do escopo / 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[hora/entrega]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, conforme medição]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pagamento será feito até o dia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apresentação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 fiscal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do relatório de atividades,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[transferência/PIX]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 conta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valores serão reajustados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anualmente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pela variação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[IPCA/IBGE]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(Lei 10.192/2001).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sujeita a CONTRATANTE a 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juros à taxa legal do art. 406 do Código Civil e correção pelo IPCA, facultando à CONTRATADA suspender os serviços após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de inadimplência, mediante aviso, sem que isso configure inadimplemento de sua parte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exceptio non adimpleti contractus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art. 476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Tributos.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tributos incidentes sobre a prestação (ISS/CBS/IBS, IRPJ, CSLL, PIS/COFINS) são de responsabilidade da CONTRATADA e já estão compreendidos no preço.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retenções legais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serão efetuadas pela CONTRATANTE quando a lei assim exigir, com destaque na nota fiscal.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reequilíbrio]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Alteração legislativa que modifique substancialmente a carga tributária incidente sobre os serviços — inclusive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transição para CBS/IBS (EC 132/2023 e LC 214/2025)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autoriza a revisão do preço para restabelecer o equilíbrio econômico-financeiro original, mediante negociação de boa-fé em até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Despesas de viagem, hospedagem, deslocamento e materiais de terceiros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[estão incluídas / serão reembolsadas mediante prévia aprovação e comprovação]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DAS OBRIGAÇÕES DA CONTRATADA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a CONTRATADA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executar os serviços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diligência, zelo técnico e observância das normas e boas práticas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aplicáveis;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equipe própria, qualificada e em número suficiente, respondendo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exclusividade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sua remuneração e encargos;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cumprir integralmente a legislação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trabalhista, previdenciária, fiscal, de segurança do trabalho e ambiental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apresentando, sempre que solicitado, GFIP/eSocial, folhas de pagamento, guias de recolhimento, CNDs e comprovantes de entrega de EPIs;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sigilo sobre todas as informações a que tiver acesso;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comunicar de imediato qualquer fato que possa comprometer prazos ou resultados;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durante toda a execução as condições de habilitação, licenças e registros profissionais exigidos para a atividade;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subcontratar, total ou parcialmente, sem anuência escrita, respondendo, se autorizada, solidariamente pelos atos do subcontratado.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OBRIGAÇÕES DA CONTRATANTE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a CONTRATANTE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efetuar os pagamentos nas datas ajustadas;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fornecer, tempestivamente, informações, documentos, acessos e condições necessários à execução;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indicar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um único interlocutor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aprovações e alinhamentos;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abster-se de dirigir pessoalmente, fiscalizar jornada, aplicar sanções disciplinares ou exigir exclusividade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profissionais da CONTRATADA, mantendo a relação estritamente entre as pessoas jurídicas contratantes;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analisar e aprovar as entregas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presumindo-se aceitas as não impugnadas nesse prazo.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 INEXISTÊNCIA DE VÍNCULO EMPREGATÍCIO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contrato tem natureza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estritamente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inexistindo entre a CONTRATANTE e a CONTRATADA — ou entre a CONTRATANTE e os empregados, sócios ou prepostos da CONTRATADA — qualquer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vínculo empregatício, de subordinação, pessoalidade, habitualidade ou onerosidade salarial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3º da CLT).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única e exclusiva empregadora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seu pessoal, respondendo integralmente por salários, verbas rescisórias, FGTS, INSS, acidentes de trabalho, adicionais e por qualquer condenação trabalhista.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Sobrevindo reclamação trabalhista, previdenciária ou acidentária proposta por preposto da CONTRATADA em face da CONTRATANTE, obriga-se a CONTRATADA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requerer sua exclusão do polo passivo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assumir a defesa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ressarcir integralmente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CONTRATANTE de tudo o que esta vier a desembolsar, inclusive custas, honorários e depósitos recursais, no prazo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contados da comprovação do desembolso.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retenção-garantia]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CONTRATANTE poderá reter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de cada fatura, ou exigir garantia equivalente, liberando-a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após o término do contrato, mediante apresentação das quitações trabalhistas.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 CONFIDENCIALIDADE E DA LGPD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obrigam-se a manter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sigilo absoluto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informações técnicas, comerciais, financeiras e estratégicas a que tiverem acesso, durante a vigência 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[5 (cinco)]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após o término, sob pena de 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perdas e danos.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Havendo tratamento de dados pessoais, a CONTRATADA atuará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CONTRATANTE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controladora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5º, VI e VII, da Lei 13.709/2018), obrigando-se a CONTRATADA a: tratar dados apenas conforme instruções documentadas; adotar medidas técnicas e administrativas de segurança (art. 46); comunicar incidentes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24 (vinte e quatro) horas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auxiliar no atendimento aos titulares (arts. 18 e 38); e eliminar ou devolver os dados ao término do contrato.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DA PROPRIEDADE INTELECTUAL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Todos os produtos, relatórios, materiais, criações e resultados desenvolvidos especificamente para a CONTRATANTE em razão deste contrato serão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titularidade exclusiva da 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ficando cedidos, em caráter total, definitivo, irrevogável e universal, os direitos patrimoniais correspondentes (arts. 49 e ss. da Lei 9.610/98), mediante o pagamento do preço ajustado, sem qualquer remuneração adicional.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Permanecem de titularidade da CONTRATADA suas metodologias, ferramentas, bibliotecas e conhecimentos preexistentes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concedendo-se à CONTRATANTE licença de uso, não exclusiva e por prazo indeterminado, na medida necessária à fruição das entregas.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DA RESPONSABILIDADE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CONTRATADA responde pelos danos diretos que causar por culpa ou dolo na execução dos serviços.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contratos empresariais paritários]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responsabilidade total da CONTRATADA fica limitada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total efetivamente pago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meses anteriores ao evento danoso, excluídos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lucros cessantes e danos indiretos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salvo dolo, culpa grave ou violação de sigilo ou de dados pessoais.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— DA RESCISÃO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poderá ser resolvido: (i)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acordo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(ii)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imotivadamente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qualquer parte, mediante aviso escrito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(iii)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justa causa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imediatamente, em caso de descumprimento não sanado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da notificação, falência, recuperação judicial, insolvência ou prática de ato ilícito.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rescisão imotivada durante prazo determinado sujeita a denunciante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saldo remanescente, limitada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mensalidades.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Rescindido o contrato, a CONTRATADA entregará em até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todos os documentos, dados, acessos e trabalhos em curso, e a CONTRATANTE pagará os serviços efetivamente prestados até a data.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PRIMEIRA — DISPOSIÇÕES GERAIS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não aliciamento]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obrigam-se a não contratar, direta ou indiretamente, empregados ou prepostos da outra envolvidos neste contrato, durante sua vigência e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meses após o término, sob pena de multa equivalente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remunerações do profissional aliciado.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tolerância não implica novação nem renúncia; a nulidade parcial não contamina as demais cláusulas.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reconhecem a validade da assinatura eletrônica.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CONTRATANTE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CONTRATADA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Risco de vínculo.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cláusula sexta não é blindagem: o vínculo se reconhece pelos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9º da CLT). Instrua o cliente a não controlar jornada, não aplicar advertências, não exigir uso de crachá ou uniforme próprio e a tratar apenas com o representante da contratada.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Terceirização de atividade-fim é lícita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(ADPF 324 e Tema 725 do STF; art. 4º-A da Lei 6.019/74), mas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responsabilidade subsidiária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tomador subsiste (Súmula 331, IV, do TST, e art. 5º-A, § 5º, da Lei 6.019/74) — daí a importância da cláusula 6.4 e da fiscalização documental periódica.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PJ de sócio ou de único cliente.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Contratação de pessoa jurídica unipessoal que presta serviços com exclusividade, dentro do horário e sob ordens, é o cenário clássico de "pejotização". O STF (Tema 725 e Rcl diversas) tem prestigiado a licitude da terceirização, mas a Justiça do Trabalho analisa a realidade fática. Documente a autonomia.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Retenção de 11%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31 da Lei 8.212/91) é devida quando há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cessão de mão de obra ou empreitada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ISS retido conforme a lei do município do estabelecimento prestador ou, nas hipóteses do art. 3º da LC 116/2003, do local da prestação.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Reforma tributária.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cláusula 3.6 é essencial em contratos plurianuais: a substituição de ISS/PIS/COFINS por IBS/CBS altera carga e creditamento durante a transição.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Prestação de serviços por profissional liberal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registro em conselho: inclua cláusula de responsabilidade técnica e comprovação de regularidade perante o conselho.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2026-08-31T15:51:10.028Z</dcterms:created>
  <dcterms:modified xsi:type="dcterms:W3CDTF">2026-08-31T15:51:10.028Z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