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PACTO ANTENUPCIAL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(minuta para lavratura de Escritura Pública em Tabelionato de Notas)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1.639 a 1.657 do Código Civil.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Art. 1.653: é nulo o pacto antenupcial não lavrado por escritura pública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e ineficaz se não se seguir o casamento. Registro obrigatório no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Livro nº 3 do Registro de Imóveis do domicílio dos cônjuges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para eficácia perante terceiros (art. 1.657 do CC e arts. 167, I, 12, e 244 da Lei 6.015/73).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DOS NUBENTES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NUBENTE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[solteiro(a) / divorciado(a) / viúvo(a)]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nascido(a)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filho(a)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NUBENTE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[qualificação completa nos mesmos moldes]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NUBENTES, que pretendem contrair matrimônio, tendo dado entrada no processo de habilitação perante o Cartório de Registro Civil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declaram, com fundamento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1.639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estipulam o regime de bens de seu casamento nos termos das cláusulas seguintes.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REGIME DE BENS ADOTADO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NUBENTES adotam, para o casamento a ser celebrado, o regime da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(escolher uma opção e desenvolver)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44444"/>
          <w:sz w:val="22"/>
          <w:szCs w:val="22"/>
        </w:rPr>
        <w:t xml:space="preserve">OPÇÃO A — SEPARAÇÃO CONVENCIONAL TOTAL DE BENS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(arts. 1.687 e 1.688)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Adotam o regime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SEPARAÇÃO CONVENCIONAL DE BENS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pelo qual cada cônjuge conserva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exclusiva propriedade, posse, administração e livre disposição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bens presentes e futuros, móveis e imóveis, direitos e ações,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adquiridos antes ou durante o casamento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qualquer título, podendo aliená-los ou gravá-los de ônus real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independentemente de outorga do outro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1.687 e art. 1.647, caput,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1.1.A.1.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haverá comunhão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bens, frutos, rendimentos, aquestos, valorizações, proventos do trabalho, participações societárias, aplicações financeiras, previdência privada, direitos autorais, indenizações ou quaisquer outros valores,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ainda que adquiridos onerosamente durante a constância do casamento e com esforço comum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afastando-se expressamente a aplicação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377 do STF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as partes declaram conhecer.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1.1.A.2.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bens adquiridos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conjunto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durante o casamento pertencerão a cada cônjuge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proporção de sua contribuição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comprovada documentalmente, regendo-se pelas normas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condomínio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1.314 e ss. do Código Civil), devendo constar do respectivo título aquisitivo a fração ideal de cada um; na omissão, presumem-se partes iguais.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1.1.A.3.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dívidas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contraídas por qualquer dos cônjuges, anteriores ou posteriores ao casamento,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obrigam o outro nem seus bens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ressalvadas as contraídas para a economia doméstica (art. 1.644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1.1.A.4.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Cada cônjuge contribuirá para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despesas do casal na proporção de seus rendimentos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salvo estipulação diversa (art. 1.688).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44444"/>
          <w:sz w:val="22"/>
          <w:szCs w:val="22"/>
        </w:rPr>
        <w:t xml:space="preserve">OPÇÃO B — PARTICIPAÇÃO FINAL NOS AQUESTOS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(arts. 1.672 a 1.686)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1.1.B.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Adotam o regime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PARTICIPAÇÃO FINAL NOS AQUESTOS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pelo qual, durante o casamento, cada cônjuge possui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patrimônio próprio, administrado com exclusividade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cabendo-lhe, à época da dissolução da sociedade conjugal,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à metade dos bens adquiridos a título oneroso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ambos na constância do casamento (art. 1.672).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1.1.B.1.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1.656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os NUBENTES convencionam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livre disposição dos bens imóveis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dispensando-se a outorga conjugal para aliená-los ou gravá-los.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1.1.B.2.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Serão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excluídos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participação: os bens anteriores ao casamento e os sub-rogados em seu lugar; os recebidos por doação ou sucessão; as dívidas relativas a esses bens; 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[outros: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44444"/>
          <w:sz w:val="22"/>
          <w:szCs w:val="22"/>
        </w:rPr>
        <w:t xml:space="preserve">OPÇÃO C — COMUNHÃO PARCIAL COM CLÁUSULAS ESPECÍFICAS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1.1.C.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Adotam o regime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COMUNHÃO PARCIAL DE BENS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1.658 a 1.666), com as seguintes estipulações particulares: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ficam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excluídas da comunhão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quotas e 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titularidade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[nubente]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bem como seus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frutos, dividendos, juros sobre capital próprio, bonificações e a valorização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decorrente de reinvestimento de lucros, ainda que auferidos na constância do casamento;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ficam excluídos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planos de previdência privada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(PGBL/VGBL),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direitos autorais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indenizações de natureza personalíssima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[outras exclusões]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44444"/>
          <w:sz w:val="22"/>
          <w:szCs w:val="22"/>
        </w:rPr>
        <w:t xml:space="preserve">OPÇÃO D — COMUNHÃO UNIVERSAL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(arts. 1.667 a 1.671)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1.1.D.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Adotam o regime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COMUNHÃO UNIVERSAL DE BENS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comunicando-se todos os bens presentes e futuros e suas dívidas passivas, com as exclusões legais do art. 1.668 e as seguintes exclusões convencionais: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PATRIMÔNIO ATUAL DOS NUBENTES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prevenir dúvidas, os NUBENTES declaram que, nesta data, seus patrimônios são os relacionados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integra este pacto: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Bens do NUBENTE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[relação de imóveis com matrícula, veículos com placa/Renavam, participações societárias com CNPJ e percentual, aplicações financeiras, dívidas e ônus]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Bens do NUBENTE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[idem]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omissão de bem nesta relação não altera o regime adotado, prevalecendo a regra da cláusula primeira.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ADMINISTRAÇÃO E DAS DÍVIDAS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Cada cônjuge administra livremente seus bens próprios e responde com eles pelas obrigações que contrair, ressalvadas as dívidas destinadas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economia doméstica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obrigam solidariamente ambos (arts. 1.643 e 1.644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atividade empresarial]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NUBENTE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exerce atividade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[empresarial / de administração de sociedade]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as partes reconhecem que os riscos e as obrigações dela decorrentes recaem exclusivamente sobre seu patrimônio pessoal, não respondendo o outro cônjuge nem seus bens.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DISPOSIÇÕES DE CARÁTER PESSOAL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(opcional)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NUBENTES poderão convencionar cláusulas de conteúdo não patrimonial, desde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contrariem disposição absoluta de lei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1.655 do Código Civil), tais como: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de família a ser adotado; domicílio conjugal; forma de contribuição para as despesas]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e, portanto, não constam deste pacto: cláusulas que disponham sobre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herança de pessoa viva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426), que afastem deveres conjugais legais (art. 1.566), que estabeleçam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por infidelidade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que restrinjam direitos indisponíveis, inclusive de filhos.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 EFICÁCIA, DO REGISTRO E DA ALTERAÇÃO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pacto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somente terá eficácia com a celebração do casamento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1.653, parte final, do Código Civil), e produzirá efeitos entre as partes desde a data do matrimônio.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produzir efeitos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perante terceiros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pacto será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registrado no Livro nº 3 do Registro de Imóveis do domicílio dos cônjuges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1.657 do Código Civil), obrigando-se os NUBENTES a providenciar o registro imediatamente após o casamento, bem como a averbação nas matrículas dos imóveis de sua titularidade.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regime de bens poderá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alterado na constância do casamento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autorização judicial, em pedido motivado de ambos os cônjuges, apurada a procedência das razões e ressalvados os direitos de terceiros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1.639, § 2º,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NUBENTES declaram estar plenamente esclarecidos quanto aos efeitos patrimoniais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sucessórios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regime escolhido, tendo recebido orientação jurídica prévia e independente.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NUBENTE 1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NUBENTE 2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(Instrumento a ser lavrado como escritura pública perante o Tabelionato de Notas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— as assinaturas acima destinam-se apenas à conferência da minuta pelas partes.)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 é da substância.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Pacto por instrumento particular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1.653). Nunca entregue ao cliente um pacto "assinado com firma reconhecida" — leve a Tabelionato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casamento.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no Livro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RI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domicílio dos cônjuges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não é a matrícula do imóvel. Sem ele, o pacto vale entre as partes, mas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oponível a terceiros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(credores, adquirentes). Averbe também nas matrículas dos imóveis.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377 do STF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("no regime de separação legal de bens comunicam-se os adquiridos na constância do casamento"). Ela se aplica à separação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obrigatória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o STJ vem exigindo prova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esforço comum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comunicação. Em separação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convencional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doutrina majoritária a afasta — mas a cláusula 1.1.A.1, que a exclui expressamente, elimina a discussão.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Mantenha-a sempre.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Separação obrigatória por idade (art. 1.641, II).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STF, no Tema 1.236 (ARE 1.309.642, julgado em 2024)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decidiu que a imposição do regime aos maiores de 70 anos deve ceder à autonomia da vontade, admitindo-se que os nubentes,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escritura pública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afastem a separação obrigatória e escolham outro regime, com modulação de efeitos.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Confira a redação final da tese e a modulação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antes de invocá-la — é a hipótese que mais muda na prática recente.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Sucessão × regime.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regime altera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concorrência do cônjuge com os descendentes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1.829, I): na separação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convencional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cônjuge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concorre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os descendentes (STJ); na comunhão universal e na separação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obrigatória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concorre. Explique isso ao cliente — é a surpresa mais comum do planejamento patrimonial.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Empresário e sócio.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Pacto de separação total é a proteção mais eficaz do patrimônio familiar contra risco empresarial e evita o ingresso do cônjuge na apuração de haveres. Combine com acordo de sócios (modelo 20) e cláusula de incomunicabilidade em doações (modelos 26 e 27).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União estável.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se usa pacto antenupcial, e sim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de convivência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1.725), por escritura pública, com registro no RTD e averbação nas matrículas. Se o casal já vive em união estável e vai casar, o pacto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retroage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considere partilhar previamente o período de convivência.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Estrangeiro / bens no exterior.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Verifique a lei do domicílio (art. 7º da LINDB) e a necessidade de reconhecimento do pacto no país de situação dos bens.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PACTO ANTENUPCIAL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2026-08-31T15:51:10.288Z</dcterms:created>
  <dcterms:modified xsi:type="dcterms:W3CDTF">2026-08-31T15:51:10.288Z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