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60" w:before="0"/>
        <w:jc w:val="center"/>
      </w:pPr>
      <w:r>
        <w:rPr>
          <w:rFonts w:ascii="Times New Roman" w:cs="Times New Roman" w:eastAsia="Times New Roman" w:hAnsi="Times New Roman"/>
          <w:b/>
          <w:bCs/>
          <w:caps w:val="false"/>
          <w:sz w:val="28"/>
          <w:szCs w:val="28"/>
        </w:rPr>
        <w:t xml:space="preserve">ESCRITURA PÚBLICA DE DOAÇÃO DE BEM IMÓVEL</w:t>
      </w:r>
    </w:p>
    <w:p>
      <w:pPr>
        <w:spacing w:after="200" w:before="0"/>
        <w:jc w:val="center"/>
      </w:pPr>
      <w:r>
        <w:rPr>
          <w:rFonts w:ascii="Times New Roman" w:cs="Times New Roman" w:eastAsia="Times New Roman" w:hAnsi="Times New Roman"/>
          <w:i/>
          <w:iCs/>
          <w:color w:val="444444"/>
          <w:sz w:val="22"/>
          <w:szCs w:val="22"/>
        </w:rPr>
        <w:t xml:space="preserve">(doação pura, sem reserva de usufruto — minuta para Tabelionato de Notas)</w:t>
      </w:r>
    </w:p>
    <w:p>
      <w:pPr>
        <w:pBdr>
          <w:left w:val="single" w:color="999999" w:sz="12" w:space="8"/>
        </w:pBdr>
        <w:shd w:fill="F2F2F2" w:color="auto" w:val="clear"/>
        <w:spacing w:after="80" w:line="276"/>
        <w:ind w:left="340" w:right="200"/>
        <w:jc w:val="both"/>
      </w:pPr>
      <w:r>
        <w:rPr>
          <w:rFonts w:ascii="Times New Roman" w:cs="Times New Roman" w:eastAsia="Times New Roman" w:hAnsi="Times New Roman"/>
          <w:b/>
          <w:bCs/>
          <w:color w:val="333333"/>
          <w:sz w:val="20"/>
          <w:szCs w:val="20"/>
        </w:rPr>
        <w:t xml:space="preserve">Base legal:</w:t>
      </w:r>
      <w:r>
        <w:rPr>
          <w:rFonts w:ascii="Times New Roman" w:cs="Times New Roman" w:eastAsia="Times New Roman" w:hAnsi="Times New Roman"/>
          <w:color w:val="333333"/>
          <w:sz w:val="20"/>
          <w:szCs w:val="20"/>
        </w:rPr>
        <w:t xml:space="preserve"> arts. 538 a 564 do Código Civil; </w:t>
      </w:r>
      <w:r>
        <w:rPr>
          <w:rFonts w:ascii="Times New Roman" w:cs="Times New Roman" w:eastAsia="Times New Roman" w:hAnsi="Times New Roman"/>
          <w:b/>
          <w:bCs/>
          <w:color w:val="333333"/>
          <w:sz w:val="20"/>
          <w:szCs w:val="20"/>
        </w:rPr>
        <w:t xml:space="preserve">art. 108</w:t>
      </w:r>
      <w:r>
        <w:rPr>
          <w:rFonts w:ascii="Times New Roman" w:cs="Times New Roman" w:eastAsia="Times New Roman" w:hAnsi="Times New Roman"/>
          <w:color w:val="333333"/>
          <w:sz w:val="20"/>
          <w:szCs w:val="20"/>
        </w:rPr>
        <w:t xml:space="preserve"> (escritura pública para negócios sobre imóveis acima de 30 salários mínimos); art. 1.245 (transmissão da propriedade pelo </w:t>
      </w:r>
      <w:r>
        <w:rPr>
          <w:rFonts w:ascii="Times New Roman" w:cs="Times New Roman" w:eastAsia="Times New Roman" w:hAnsi="Times New Roman"/>
          <w:b/>
          <w:bCs/>
          <w:color w:val="333333"/>
          <w:sz w:val="20"/>
          <w:szCs w:val="20"/>
        </w:rPr>
        <w:t xml:space="preserve">registro</w:t>
      </w:r>
      <w:r>
        <w:rPr>
          <w:rFonts w:ascii="Times New Roman" w:cs="Times New Roman" w:eastAsia="Times New Roman" w:hAnsi="Times New Roman"/>
          <w:color w:val="333333"/>
          <w:sz w:val="20"/>
          <w:szCs w:val="20"/>
        </w:rPr>
        <w:t xml:space="preserve">); art. 544 (adiantamento de legítima); arts. 548 e 549 (doação universal e inoficiosa); art. 1.911 (cláusulas restritivas); art. 1.647, I (outorga conjugal). </w:t>
      </w:r>
      <w:r>
        <w:rPr>
          <w:rFonts w:ascii="Times New Roman" w:cs="Times New Roman" w:eastAsia="Times New Roman" w:hAnsi="Times New Roman"/>
          <w:b/>
          <w:bCs/>
          <w:color w:val="333333"/>
          <w:sz w:val="20"/>
          <w:szCs w:val="20"/>
        </w:rPr>
        <w:t xml:space="preserve">ITCMD</w:t>
      </w:r>
      <w:r>
        <w:rPr>
          <w:rFonts w:ascii="Times New Roman" w:cs="Times New Roman" w:eastAsia="Times New Roman" w:hAnsi="Times New Roman"/>
          <w:color w:val="333333"/>
          <w:sz w:val="20"/>
          <w:szCs w:val="20"/>
        </w:rPr>
        <w:t xml:space="preserve"> — art. 155, I, da CF.</w:t>
      </w:r>
    </w:p>
    <w:p>
      <w:pPr>
        <w:spacing w:after="120"/>
      </w:pPr>
      <w:r>
        <w:rPr>
          <w:sz w:val="8"/>
          <w:szCs w:val="8"/>
        </w:rPr>
        <w:t xml:space="preserve"/>
      </w:r>
    </w:p>
    <w:p>
      <w:pPr>
        <w:pBdr>
          <w:bottom w:val="single" w:color="BFBFBF" w:sz="6" w:space="1"/>
        </w:pBdr>
        <w:spacing w:after="160" w:before="60"/>
      </w:pPr>
      <w:r>
        <w:rPr>
          <w:sz w:val="2"/>
          <w:szCs w:val="2"/>
        </w:rPr>
        <w:t xml:space="preserve"/>
      </w:r>
    </w:p>
    <w:p>
      <w:pPr>
        <w:pStyle w:val="Heading1"/>
        <w:keepNext/>
        <w:spacing w:after="140" w:before="300"/>
        <w:jc w:val="left"/>
      </w:pPr>
      <w:r>
        <w:rPr>
          <w:rFonts w:ascii="Times New Roman" w:cs="Times New Roman" w:eastAsia="Times New Roman" w:hAnsi="Times New Roman"/>
          <w:b/>
          <w:bCs/>
          <w:color w:val="1A1A1A"/>
          <w:sz w:val="24"/>
          <w:szCs w:val="24"/>
        </w:rPr>
        <w:t xml:space="preserve">QUALIFICAÇÃO DAS PARTES</w:t>
      </w:r>
    </w:p>
    <w:p>
      <w:pPr>
        <w:spacing w:after="140" w:line="276"/>
        <w:ind w:left="0" w:right="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DOADOR(A):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</w:t>
      </w:r>
      <w:r>
        <w:rPr>
          <w:rFonts w:ascii="Times New Roman" w:cs="Times New Roman" w:eastAsia="Times New Roman" w:hAnsi="Times New Roman"/>
          <w:sz w:val="24"/>
          <w:szCs w:val="24"/>
          <w:highlight w:val="yellow"/>
          <w:highlightCs w:val="yellow"/>
        </w:rPr>
        <w:t xml:space="preserve">[NOME COMPLETO]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, </w:t>
      </w:r>
      <w:r>
        <w:rPr>
          <w:rFonts w:ascii="Times New Roman" w:cs="Times New Roman" w:eastAsia="Times New Roman" w:hAnsi="Times New Roman"/>
          <w:sz w:val="24"/>
          <w:szCs w:val="24"/>
          <w:highlight w:val="yellow"/>
          <w:highlightCs w:val="yellow"/>
        </w:rPr>
        <w:t xml:space="preserve">[nacionalidade]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, </w:t>
      </w:r>
      <w:r>
        <w:rPr>
          <w:rFonts w:ascii="Times New Roman" w:cs="Times New Roman" w:eastAsia="Times New Roman" w:hAnsi="Times New Roman"/>
          <w:sz w:val="24"/>
          <w:szCs w:val="24"/>
          <w:highlight w:val="yellow"/>
          <w:highlightCs w:val="yellow"/>
        </w:rPr>
        <w:t xml:space="preserve">[estado civil, **regime de bens e data do casamento**]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, </w:t>
      </w:r>
      <w:r>
        <w:rPr>
          <w:rFonts w:ascii="Times New Roman" w:cs="Times New Roman" w:eastAsia="Times New Roman" w:hAnsi="Times New Roman"/>
          <w:sz w:val="24"/>
          <w:szCs w:val="24"/>
          <w:highlight w:val="yellow"/>
          <w:highlightCs w:val="yellow"/>
        </w:rPr>
        <w:t xml:space="preserve">[profissão]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, RG nº </w:t>
      </w:r>
      <w:r>
        <w:rPr>
          <w:rFonts w:ascii="Times New Roman" w:cs="Times New Roman" w:eastAsia="Times New Roman" w:hAnsi="Times New Roman"/>
          <w:sz w:val="24"/>
          <w:szCs w:val="24"/>
          <w:highlight w:val="yellow"/>
          <w:highlightCs w:val="yellow"/>
        </w:rPr>
        <w:t xml:space="preserve">[•]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, CPF nº </w:t>
      </w:r>
      <w:r>
        <w:rPr>
          <w:rFonts w:ascii="Times New Roman" w:cs="Times New Roman" w:eastAsia="Times New Roman" w:hAnsi="Times New Roman"/>
          <w:sz w:val="24"/>
          <w:szCs w:val="24"/>
          <w:highlight w:val="yellow"/>
          <w:highlightCs w:val="yellow"/>
        </w:rPr>
        <w:t xml:space="preserve">[•]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, residente e domiciliado(a) na </w:t>
      </w:r>
      <w:r>
        <w:rPr>
          <w:rFonts w:ascii="Times New Roman" w:cs="Times New Roman" w:eastAsia="Times New Roman" w:hAnsi="Times New Roman"/>
          <w:sz w:val="24"/>
          <w:szCs w:val="24"/>
          <w:highlight w:val="yellow"/>
          <w:highlightCs w:val="yellow"/>
        </w:rPr>
        <w:t xml:space="preserve">[endereço completo]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,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e seu cônjuge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</w:t>
      </w:r>
      <w:r>
        <w:rPr>
          <w:rFonts w:ascii="Times New Roman" w:cs="Times New Roman" w:eastAsia="Times New Roman" w:hAnsi="Times New Roman"/>
          <w:sz w:val="24"/>
          <w:szCs w:val="24"/>
          <w:highlight w:val="yellow"/>
          <w:highlightCs w:val="yellow"/>
        </w:rPr>
        <w:t xml:space="preserve">[NOME COMPLETO, qualificação]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, que comparece para dar a devida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outorga conjugal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(art. 1.647, I, do Código Civil).</w:t>
      </w:r>
    </w:p>
    <w:p>
      <w:pPr>
        <w:spacing w:after="140" w:line="276"/>
        <w:ind w:left="0" w:right="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DONATÁRIO(A):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</w:t>
      </w:r>
      <w:r>
        <w:rPr>
          <w:rFonts w:ascii="Times New Roman" w:cs="Times New Roman" w:eastAsia="Times New Roman" w:hAnsi="Times New Roman"/>
          <w:sz w:val="24"/>
          <w:szCs w:val="24"/>
          <w:highlight w:val="yellow"/>
          <w:highlightCs w:val="yellow"/>
        </w:rPr>
        <w:t xml:space="preserve">[NOME COMPLETO]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, </w:t>
      </w:r>
      <w:r>
        <w:rPr>
          <w:rFonts w:ascii="Times New Roman" w:cs="Times New Roman" w:eastAsia="Times New Roman" w:hAnsi="Times New Roman"/>
          <w:sz w:val="24"/>
          <w:szCs w:val="24"/>
          <w:highlight w:val="yellow"/>
          <w:highlightCs w:val="yellow"/>
        </w:rPr>
        <w:t xml:space="preserve">[nacionalidade]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, </w:t>
      </w:r>
      <w:r>
        <w:rPr>
          <w:rFonts w:ascii="Times New Roman" w:cs="Times New Roman" w:eastAsia="Times New Roman" w:hAnsi="Times New Roman"/>
          <w:sz w:val="24"/>
          <w:szCs w:val="24"/>
          <w:highlight w:val="yellow"/>
          <w:highlightCs w:val="yellow"/>
        </w:rPr>
        <w:t xml:space="preserve">[estado civil e regime de bens]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, </w:t>
      </w:r>
      <w:r>
        <w:rPr>
          <w:rFonts w:ascii="Times New Roman" w:cs="Times New Roman" w:eastAsia="Times New Roman" w:hAnsi="Times New Roman"/>
          <w:sz w:val="24"/>
          <w:szCs w:val="24"/>
          <w:highlight w:val="yellow"/>
          <w:highlightCs w:val="yellow"/>
        </w:rPr>
        <w:t xml:space="preserve">[profissão]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, RG nº </w:t>
      </w:r>
      <w:r>
        <w:rPr>
          <w:rFonts w:ascii="Times New Roman" w:cs="Times New Roman" w:eastAsia="Times New Roman" w:hAnsi="Times New Roman"/>
          <w:sz w:val="24"/>
          <w:szCs w:val="24"/>
          <w:highlight w:val="yellow"/>
          <w:highlightCs w:val="yellow"/>
        </w:rPr>
        <w:t xml:space="preserve">[•]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, CPF nº </w:t>
      </w:r>
      <w:r>
        <w:rPr>
          <w:rFonts w:ascii="Times New Roman" w:cs="Times New Roman" w:eastAsia="Times New Roman" w:hAnsi="Times New Roman"/>
          <w:sz w:val="24"/>
          <w:szCs w:val="24"/>
          <w:highlight w:val="yellow"/>
          <w:highlightCs w:val="yellow"/>
        </w:rPr>
        <w:t xml:space="preserve">[•]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, residente e domiciliado(a) na </w:t>
      </w:r>
      <w:r>
        <w:rPr>
          <w:rFonts w:ascii="Times New Roman" w:cs="Times New Roman" w:eastAsia="Times New Roman" w:hAnsi="Times New Roman"/>
          <w:sz w:val="24"/>
          <w:szCs w:val="24"/>
          <w:highlight w:val="yellow"/>
          <w:highlightCs w:val="yellow"/>
        </w:rPr>
        <w:t xml:space="preserve">[endereço completo]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.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Parentesco com o doador: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</w:t>
      </w:r>
      <w:r>
        <w:rPr>
          <w:rFonts w:ascii="Times New Roman" w:cs="Times New Roman" w:eastAsia="Times New Roman" w:hAnsi="Times New Roman"/>
          <w:sz w:val="24"/>
          <w:szCs w:val="24"/>
          <w:highlight w:val="yellow"/>
          <w:highlightCs w:val="yellow"/>
        </w:rPr>
        <w:t xml:space="preserve">[filho(a) / neto(a) / cônjuge / terceiro]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.</w:t>
      </w:r>
    </w:p>
    <w:p>
      <w:pPr>
        <w:spacing w:after="140" w:line="276"/>
        <w:ind w:left="0" w:right="0"/>
        <w:jc w:val="both"/>
      </w:pP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(Havendo mais de um donatário, qualificar todos e indicar as frações.)</w:t>
      </w:r>
    </w:p>
    <w:p>
      <w:pPr>
        <w:pBdr>
          <w:bottom w:val="single" w:color="BFBFBF" w:sz="6" w:space="1"/>
        </w:pBdr>
        <w:spacing w:after="160" w:before="60"/>
      </w:pPr>
      <w:r>
        <w:rPr>
          <w:sz w:val="2"/>
          <w:szCs w:val="2"/>
        </w:rPr>
        <w:t xml:space="preserve"/>
      </w:r>
    </w:p>
    <w:p>
      <w:pPr>
        <w:pStyle w:val="Heading1"/>
        <w:keepNext/>
        <w:spacing w:after="140" w:before="300"/>
        <w:jc w:val="left"/>
      </w:pPr>
      <w:r>
        <w:rPr>
          <w:rFonts w:ascii="Times New Roman" w:cs="Times New Roman" w:eastAsia="Times New Roman" w:hAnsi="Times New Roman"/>
          <w:b/>
          <w:bCs/>
          <w:color w:val="1A1A1A"/>
          <w:sz w:val="24"/>
          <w:szCs w:val="24"/>
        </w:rPr>
        <w:t xml:space="preserve">CLÁUSULA PRIMEIRA — DO OBJETO</w:t>
      </w:r>
    </w:p>
    <w:p>
      <w:pPr>
        <w:spacing w:after="140" w:line="276"/>
        <w:ind w:left="0" w:right="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1.1.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O DOADOR é senhor e legítimo proprietário do imóvel assim descrito e caracterizado:</w:t>
      </w:r>
    </w:p>
    <w:p>
      <w:pPr>
        <w:pBdr>
          <w:left w:val="single" w:color="999999" w:sz="12" w:space="8"/>
        </w:pBdr>
        <w:shd w:fill="F2F2F2" w:color="auto" w:val="clear"/>
        <w:spacing w:after="80" w:line="276"/>
        <w:ind w:left="340" w:right="200"/>
        <w:jc w:val="both"/>
      </w:pPr>
      <w:r>
        <w:rPr>
          <w:rFonts w:ascii="Times New Roman" w:cs="Times New Roman" w:eastAsia="Times New Roman" w:hAnsi="Times New Roman"/>
          <w:color w:val="333333"/>
          <w:sz w:val="20"/>
          <w:szCs w:val="20"/>
          <w:highlight w:val="yellow"/>
          <w:highlightCs w:val="yellow"/>
        </w:rPr>
        <w:t xml:space="preserve">[DESCRIÇÃO INTEGRAL CONFORME A MATRÍCULA — tipo, endereço, área privativa e total, fração ideal, vaga de garagem, confrontações]</w:t>
      </w:r>
      <w:r>
        <w:rPr>
          <w:rFonts w:ascii="Times New Roman" w:cs="Times New Roman" w:eastAsia="Times New Roman" w:hAnsi="Times New Roman"/>
          <w:color w:val="333333"/>
          <w:sz w:val="20"/>
          <w:szCs w:val="20"/>
        </w:rPr>
        <w:t xml:space="preserve">, objeto da </w:t>
      </w:r>
      <w:r>
        <w:rPr>
          <w:rFonts w:ascii="Times New Roman" w:cs="Times New Roman" w:eastAsia="Times New Roman" w:hAnsi="Times New Roman"/>
          <w:b/>
          <w:bCs/>
          <w:color w:val="333333"/>
          <w:sz w:val="20"/>
          <w:szCs w:val="20"/>
        </w:rPr>
        <w:t xml:space="preserve">matrícula nº </w:t>
      </w:r>
      <w:r>
        <w:rPr>
          <w:rFonts w:ascii="Times New Roman" w:cs="Times New Roman" w:eastAsia="Times New Roman" w:hAnsi="Times New Roman"/>
          <w:b/>
          <w:bCs/>
          <w:color w:val="333333"/>
          <w:sz w:val="20"/>
          <w:szCs w:val="20"/>
          <w:highlight w:val="yellow"/>
          <w:highlightCs w:val="yellow"/>
        </w:rPr>
        <w:t xml:space="preserve">[•]</w:t>
      </w:r>
      <w:r>
        <w:rPr>
          <w:rFonts w:ascii="Times New Roman" w:cs="Times New Roman" w:eastAsia="Times New Roman" w:hAnsi="Times New Roman"/>
          <w:b/>
          <w:bCs/>
          <w:color w:val="333333"/>
          <w:sz w:val="20"/>
          <w:szCs w:val="20"/>
        </w:rPr>
        <w:t xml:space="preserve"> do </w:t>
      </w:r>
      <w:r>
        <w:rPr>
          <w:rFonts w:ascii="Times New Roman" w:cs="Times New Roman" w:eastAsia="Times New Roman" w:hAnsi="Times New Roman"/>
          <w:b/>
          <w:bCs/>
          <w:color w:val="333333"/>
          <w:sz w:val="20"/>
          <w:szCs w:val="20"/>
          <w:highlight w:val="yellow"/>
          <w:highlightCs w:val="yellow"/>
        </w:rPr>
        <w:t xml:space="preserve">[•]</w:t>
      </w:r>
      <w:r>
        <w:rPr>
          <w:rFonts w:ascii="Times New Roman" w:cs="Times New Roman" w:eastAsia="Times New Roman" w:hAnsi="Times New Roman"/>
          <w:b/>
          <w:bCs/>
          <w:color w:val="333333"/>
          <w:sz w:val="20"/>
          <w:szCs w:val="20"/>
        </w:rPr>
        <w:t xml:space="preserve">º Ofício de Registro de Imóveis da comarca de </w:t>
      </w:r>
      <w:r>
        <w:rPr>
          <w:rFonts w:ascii="Times New Roman" w:cs="Times New Roman" w:eastAsia="Times New Roman" w:hAnsi="Times New Roman"/>
          <w:b/>
          <w:bCs/>
          <w:color w:val="333333"/>
          <w:sz w:val="20"/>
          <w:szCs w:val="20"/>
          <w:highlight w:val="yellow"/>
          <w:highlightCs w:val="yellow"/>
        </w:rPr>
        <w:t xml:space="preserve">[•]</w:t>
      </w:r>
      <w:r>
        <w:rPr>
          <w:rFonts w:ascii="Times New Roman" w:cs="Times New Roman" w:eastAsia="Times New Roman" w:hAnsi="Times New Roman"/>
          <w:b/>
          <w:bCs/>
          <w:color w:val="333333"/>
          <w:sz w:val="20"/>
          <w:szCs w:val="20"/>
        </w:rPr>
        <w:t xml:space="preserve">/</w:t>
      </w:r>
      <w:r>
        <w:rPr>
          <w:rFonts w:ascii="Times New Roman" w:cs="Times New Roman" w:eastAsia="Times New Roman" w:hAnsi="Times New Roman"/>
          <w:b/>
          <w:bCs/>
          <w:color w:val="333333"/>
          <w:sz w:val="20"/>
          <w:szCs w:val="20"/>
          <w:highlight w:val="yellow"/>
          <w:highlightCs w:val="yellow"/>
        </w:rPr>
        <w:t xml:space="preserve">[UF]</w:t>
      </w:r>
      <w:r>
        <w:rPr>
          <w:rFonts w:ascii="Times New Roman" w:cs="Times New Roman" w:eastAsia="Times New Roman" w:hAnsi="Times New Roman"/>
          <w:color w:val="333333"/>
          <w:sz w:val="20"/>
          <w:szCs w:val="20"/>
        </w:rPr>
        <w:t xml:space="preserve">, inscrição municipal (IPTU) nº </w:t>
      </w:r>
      <w:r>
        <w:rPr>
          <w:rFonts w:ascii="Times New Roman" w:cs="Times New Roman" w:eastAsia="Times New Roman" w:hAnsi="Times New Roman"/>
          <w:color w:val="333333"/>
          <w:sz w:val="20"/>
          <w:szCs w:val="20"/>
          <w:highlight w:val="yellow"/>
          <w:highlightCs w:val="yellow"/>
        </w:rPr>
        <w:t xml:space="preserve">[•]</w:t>
      </w:r>
      <w:r>
        <w:rPr>
          <w:rFonts w:ascii="Times New Roman" w:cs="Times New Roman" w:eastAsia="Times New Roman" w:hAnsi="Times New Roman"/>
          <w:color w:val="333333"/>
          <w:sz w:val="20"/>
          <w:szCs w:val="20"/>
        </w:rPr>
        <w:t xml:space="preserve">.</w:t>
      </w:r>
    </w:p>
    <w:p>
      <w:pPr>
        <w:spacing w:after="120"/>
      </w:pPr>
      <w:r>
        <w:rPr>
          <w:sz w:val="8"/>
          <w:szCs w:val="8"/>
        </w:rPr>
        <w:t xml:space="preserve"/>
      </w:r>
    </w:p>
    <w:p>
      <w:pPr>
        <w:spacing w:after="140" w:line="276"/>
        <w:ind w:left="0" w:right="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1.2.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O imóvel foi havido pelo DOADOR por </w:t>
      </w:r>
      <w:r>
        <w:rPr>
          <w:rFonts w:ascii="Times New Roman" w:cs="Times New Roman" w:eastAsia="Times New Roman" w:hAnsi="Times New Roman"/>
          <w:sz w:val="24"/>
          <w:szCs w:val="24"/>
          <w:highlight w:val="yellow"/>
          <w:highlightCs w:val="yellow"/>
        </w:rPr>
        <w:t xml:space="preserve">[forma de aquisição]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, conforme registro nº </w:t>
      </w:r>
      <w:r>
        <w:rPr>
          <w:rFonts w:ascii="Times New Roman" w:cs="Times New Roman" w:eastAsia="Times New Roman" w:hAnsi="Times New Roman"/>
          <w:sz w:val="24"/>
          <w:szCs w:val="24"/>
          <w:highlight w:val="yellow"/>
          <w:highlightCs w:val="yellow"/>
        </w:rPr>
        <w:t xml:space="preserve">[•]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da referida matrícula.</w:t>
      </w:r>
    </w:p>
    <w:p>
      <w:pPr>
        <w:spacing w:after="140" w:line="276"/>
        <w:ind w:left="0" w:right="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1.3.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O valor atribuído ao imóvel, para fins fiscais, é de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R$ </w:t>
      </w:r>
      <w:r>
        <w:rPr>
          <w:rFonts w:ascii="Times New Roman" w:cs="Times New Roman" w:eastAsia="Times New Roman" w:hAnsi="Times New Roman"/>
          <w:b/>
          <w:bCs/>
          <w:sz w:val="24"/>
          <w:szCs w:val="24"/>
          <w:highlight w:val="yellow"/>
          <w:highlightCs w:val="yellow"/>
        </w:rPr>
        <w:t xml:space="preserve">[•]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 (</w:t>
      </w:r>
      <w:r>
        <w:rPr>
          <w:rFonts w:ascii="Times New Roman" w:cs="Times New Roman" w:eastAsia="Times New Roman" w:hAnsi="Times New Roman"/>
          <w:b/>
          <w:bCs/>
          <w:sz w:val="24"/>
          <w:szCs w:val="24"/>
          <w:highlight w:val="yellow"/>
          <w:highlightCs w:val="yellow"/>
        </w:rPr>
        <w:t xml:space="preserve">[por extenso]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)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, correspondente ao </w:t>
      </w:r>
      <w:r>
        <w:rPr>
          <w:rFonts w:ascii="Times New Roman" w:cs="Times New Roman" w:eastAsia="Times New Roman" w:hAnsi="Times New Roman"/>
          <w:sz w:val="24"/>
          <w:szCs w:val="24"/>
          <w:highlight w:val="yellow"/>
          <w:highlightCs w:val="yellow"/>
        </w:rPr>
        <w:t xml:space="preserve">[valor venal / valor de mercado / valor de referência da Fazenda Estadual]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.</w:t>
      </w:r>
    </w:p>
    <w:p>
      <w:pPr>
        <w:pBdr>
          <w:bottom w:val="single" w:color="BFBFBF" w:sz="6" w:space="1"/>
        </w:pBdr>
        <w:spacing w:after="160" w:before="60"/>
      </w:pPr>
      <w:r>
        <w:rPr>
          <w:sz w:val="2"/>
          <w:szCs w:val="2"/>
        </w:rPr>
        <w:t xml:space="preserve"/>
      </w:r>
    </w:p>
    <w:p>
      <w:pPr>
        <w:pStyle w:val="Heading1"/>
        <w:keepNext/>
        <w:spacing w:after="140" w:before="300"/>
        <w:jc w:val="left"/>
      </w:pPr>
      <w:r>
        <w:rPr>
          <w:rFonts w:ascii="Times New Roman" w:cs="Times New Roman" w:eastAsia="Times New Roman" w:hAnsi="Times New Roman"/>
          <w:b/>
          <w:bCs/>
          <w:color w:val="1A1A1A"/>
          <w:sz w:val="24"/>
          <w:szCs w:val="24"/>
        </w:rPr>
        <w:t xml:space="preserve">CLÁUSULA SEGUNDA — DA DOAÇÃO E DA ACEITAÇÃO</w:t>
      </w:r>
    </w:p>
    <w:p>
      <w:pPr>
        <w:spacing w:after="140" w:line="276"/>
        <w:ind w:left="0" w:right="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2.1.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O DOADOR, por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liberalidade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e por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espírito de generosidade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,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DOA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ao DONATÁRIO,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em sua plena e integral propriedade, sem qualquer reserva de usufruto ou de qualquer outro direito real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, o imóvel descrito na cláusula primeira, </w:t>
      </w:r>
      <w:r>
        <w:rPr>
          <w:rFonts w:ascii="Times New Roman" w:cs="Times New Roman" w:eastAsia="Times New Roman" w:hAnsi="Times New Roman"/>
          <w:sz w:val="24"/>
          <w:szCs w:val="24"/>
          <w:highlight w:val="yellow"/>
          <w:highlightCs w:val="yellow"/>
        </w:rPr>
        <w:t xml:space="preserve">[na totalidade / na fração ideal de •%]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.</w:t>
      </w:r>
    </w:p>
    <w:p>
      <w:pPr>
        <w:spacing w:after="140" w:line="276"/>
        <w:ind w:left="0" w:right="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2.2.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A doação é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PURA, SIMPLES, GRATUITA E IRREVOGÁVEL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, ressalvadas as hipóteses legais de revogação.</w:t>
      </w:r>
    </w:p>
    <w:p>
      <w:pPr>
        <w:spacing w:after="140" w:line="276"/>
        <w:ind w:left="0" w:right="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2.3.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O DONATÁRIO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ACEITA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a presente doação, em todos os seus termos, agradecendo a liberalidade.</w:t>
      </w:r>
    </w:p>
    <w:p>
      <w:pPr>
        <w:spacing w:after="140" w:line="276"/>
        <w:ind w:left="0" w:right="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2.4.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A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posse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do imóvel é transmitida nesta data ao DONATÁRIO, que passa a responder, a partir de então, por todos os tributos, taxas, despesas condominiais, contas de consumo, seguros e encargos de conservação.</w:t>
      </w:r>
    </w:p>
    <w:p>
      <w:pPr>
        <w:pBdr>
          <w:bottom w:val="single" w:color="BFBFBF" w:sz="6" w:space="1"/>
        </w:pBdr>
        <w:spacing w:after="160" w:before="60"/>
      </w:pPr>
      <w:r>
        <w:rPr>
          <w:sz w:val="2"/>
          <w:szCs w:val="2"/>
        </w:rPr>
        <w:t xml:space="preserve"/>
      </w:r>
    </w:p>
    <w:p>
      <w:pPr>
        <w:pStyle w:val="Heading1"/>
        <w:keepNext/>
        <w:spacing w:after="140" w:before="300"/>
        <w:jc w:val="left"/>
      </w:pPr>
      <w:r>
        <w:rPr>
          <w:rFonts w:ascii="Times New Roman" w:cs="Times New Roman" w:eastAsia="Times New Roman" w:hAnsi="Times New Roman"/>
          <w:b/>
          <w:bCs/>
          <w:color w:val="1A1A1A"/>
          <w:sz w:val="24"/>
          <w:szCs w:val="24"/>
        </w:rPr>
        <w:t xml:space="preserve">CLÁUSULA TERCEIRA — DAS DECLARAÇÕES DO DOADOR</w:t>
      </w:r>
    </w:p>
    <w:p>
      <w:pPr>
        <w:spacing w:after="140" w:line="276"/>
        <w:ind w:left="0" w:right="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3.1.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Declara o DOADOR, sob as penas da lei, que:</w:t>
      </w:r>
    </w:p>
    <w:p>
      <w:pPr>
        <w:spacing w:after="100" w:line="276"/>
        <w:ind w:left="760" w:right="0" w:hanging="34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a) 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o imóvel encontra-se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livre e desembaraçado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de ônus reais, hipotecas, alienação fiduciária, penhoras, arrestos, usufruto, servidões, locações, comodatos, promessas de venda e quaisquer gravames ou direitos de terceiros;</w:t>
      </w:r>
    </w:p>
    <w:p>
      <w:pPr>
        <w:spacing w:after="100" w:line="276"/>
        <w:ind w:left="760" w:right="0" w:hanging="34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b) 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inexistem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ações reais ou reipersecutórias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ou constrições averbadas na matrícula (art. 54 da Lei 13.097/2017);</w:t>
      </w:r>
    </w:p>
    <w:p>
      <w:pPr>
        <w:spacing w:after="100" w:line="276"/>
        <w:ind w:left="760" w:right="0" w:hanging="34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c) 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estão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quitados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todos os tributos, taxas e despesas condominiais incidentes sobre o imóvel até esta data;</w:t>
      </w:r>
    </w:p>
    <w:p>
      <w:pPr>
        <w:spacing w:after="100" w:line="276"/>
        <w:ind w:left="760" w:right="0" w:hanging="34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d) 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a presente doação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não excede a parte disponível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de seu patrimônio ao tempo da liberalidade,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não sendo inoficiosa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(art. 549 do Código Civil);</w:t>
      </w:r>
    </w:p>
    <w:p>
      <w:pPr>
        <w:spacing w:after="100" w:line="276"/>
        <w:ind w:left="760" w:right="0" w:hanging="34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e) 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reserva para si patrimônio e renda suficientes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à própria subsistência, não se tratando de doação universal (art. 548);</w:t>
      </w:r>
    </w:p>
    <w:p>
      <w:pPr>
        <w:spacing w:after="100" w:line="276"/>
        <w:ind w:left="760" w:right="0" w:hanging="34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f) 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não é insolvente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, não responde a ações, execuções, protestos ou dívidas que possam caracterizar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fraude contra credores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(art. 158 do Código Civil) ou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fraude à execução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(art. 792 do CPC), e a doação não o torna insolvente;</w:t>
      </w:r>
    </w:p>
    <w:p>
      <w:pPr>
        <w:spacing w:after="100" w:line="276"/>
        <w:ind w:left="760" w:right="0" w:hanging="34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g) 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manifesta vontade livre, consciente e desimpedida, sem coação, erro, dolo, estado de perigo ou lesão.</w:t>
      </w:r>
    </w:p>
    <w:p>
      <w:pPr>
        <w:pBdr>
          <w:bottom w:val="single" w:color="BFBFBF" w:sz="6" w:space="1"/>
        </w:pBdr>
        <w:spacing w:after="160" w:before="60"/>
      </w:pPr>
      <w:r>
        <w:rPr>
          <w:sz w:val="2"/>
          <w:szCs w:val="2"/>
        </w:rPr>
        <w:t xml:space="preserve"/>
      </w:r>
    </w:p>
    <w:p>
      <w:pPr>
        <w:pStyle w:val="Heading1"/>
        <w:keepNext/>
        <w:spacing w:after="140" w:before="300"/>
        <w:jc w:val="left"/>
      </w:pPr>
      <w:r>
        <w:rPr>
          <w:rFonts w:ascii="Times New Roman" w:cs="Times New Roman" w:eastAsia="Times New Roman" w:hAnsi="Times New Roman"/>
          <w:b/>
          <w:bCs/>
          <w:color w:val="1A1A1A"/>
          <w:sz w:val="24"/>
          <w:szCs w:val="24"/>
        </w:rPr>
        <w:t xml:space="preserve">CLÁUSULA QUARTA — DA COLAÇÃO / DISPENSA DE COLAÇÃO</w:t>
      </w:r>
    </w:p>
    <w:p>
      <w:pPr>
        <w:spacing w:after="140" w:line="276"/>
        <w:ind w:left="0" w:right="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4.1.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</w:t>
      </w: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(Escolher uma opção — decisão central do planejamento sucessório)</w:t>
      </w:r>
    </w:p>
    <w:p>
      <w:pPr>
        <w:spacing w:after="100" w:line="276"/>
        <w:ind w:left="420" w:right="0" w:hanging="34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[   ] 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ADIANTAMENTO DE LEGÍTIMA.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Sendo o DONATÁRIO descendente do DOADOR, a doação importa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adiantamento da legítima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, devendo o valor ora atribuído ser levado à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COLAÇÃO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no inventário do DOADOR (arts. 544 e 2.002 e ss. do Código Civil).</w:t>
      </w:r>
    </w:p>
    <w:p>
      <w:pPr>
        <w:spacing w:after="100" w:line="276"/>
        <w:ind w:left="420" w:right="0" w:hanging="34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[   ] 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DISPENSA DE COLAÇÃO.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O DOADOR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DISPENSA EXPRESSAMENTE A COLAÇÃO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, determinando que a presente liberalidade seja imputada à sua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PARTE DISPONÍVEL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, nos termos dos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arts. 2.005 e 2.006 do Código Civil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, declarando que não excede esse limite.</w:t>
      </w:r>
    </w:p>
    <w:p>
      <w:pPr>
        <w:spacing w:after="100" w:line="276"/>
        <w:ind w:left="420" w:right="0" w:hanging="34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[   ] 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DOAÇÃO A NÃO HERDEIRO.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Sendo o DONATÁRIO estranho à sucessão do DOADOR, não há colação, imputando-se a liberalidade à parte disponível.</w:t>
      </w:r>
    </w:p>
    <w:p>
      <w:pPr>
        <w:pBdr>
          <w:bottom w:val="single" w:color="BFBFBF" w:sz="6" w:space="1"/>
        </w:pBdr>
        <w:spacing w:after="160" w:before="60"/>
      </w:pPr>
      <w:r>
        <w:rPr>
          <w:sz w:val="2"/>
          <w:szCs w:val="2"/>
        </w:rPr>
        <w:t xml:space="preserve"/>
      </w:r>
    </w:p>
    <w:p>
      <w:pPr>
        <w:pStyle w:val="Heading1"/>
        <w:keepNext/>
        <w:spacing w:after="140" w:before="300"/>
        <w:jc w:val="left"/>
      </w:pPr>
      <w:r>
        <w:rPr>
          <w:rFonts w:ascii="Times New Roman" w:cs="Times New Roman" w:eastAsia="Times New Roman" w:hAnsi="Times New Roman"/>
          <w:b/>
          <w:bCs/>
          <w:color w:val="1A1A1A"/>
          <w:sz w:val="24"/>
          <w:szCs w:val="24"/>
        </w:rPr>
        <w:t xml:space="preserve">CLÁUSULA QUINTA — DAS CLÁUSULAS RESTRITIVAS </w:t>
      </w:r>
      <w:r>
        <w:rPr>
          <w:rFonts w:ascii="Times New Roman" w:cs="Times New Roman" w:eastAsia="Times New Roman" w:hAnsi="Times New Roman"/>
          <w:b/>
          <w:bCs/>
          <w:i/>
          <w:iCs/>
          <w:color w:val="1A1A1A"/>
          <w:sz w:val="24"/>
          <w:szCs w:val="24"/>
        </w:rPr>
        <w:t xml:space="preserve">(opcional, art. 1.911)</w:t>
      </w:r>
    </w:p>
    <w:p>
      <w:pPr>
        <w:spacing w:after="140" w:line="276"/>
        <w:ind w:left="0" w:right="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5.1.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O imóvel ora doado fica gravado com as cláusulas de:</w:t>
      </w:r>
    </w:p>
    <w:p>
      <w:pPr>
        <w:spacing w:after="100" w:line="276"/>
        <w:ind w:left="420" w:right="0" w:hanging="34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[   ] 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INCOMUNICABILIDADE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— não se comunicará ao cônjuge ou companheiro do DONATÁRIO, seja qual for o regime de bens, presente ou futuro, nem integrará meação ou partilha em separação, divórcio ou dissolução de união estável;</w:t>
      </w:r>
    </w:p>
    <w:p>
      <w:pPr>
        <w:spacing w:after="100" w:line="276"/>
        <w:ind w:left="420" w:right="0" w:hanging="34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[   ] 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IMPENHORABILIDADE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— não responderá por dívidas do DONATÁRIO, ressalvadas as exceções legais;</w:t>
      </w:r>
    </w:p>
    <w:p>
      <w:pPr>
        <w:spacing w:after="100" w:line="276"/>
        <w:ind w:left="420" w:right="0" w:hanging="34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[   ] 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INALIENABILIDADE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— [vitalícia / pelo prazo de </w:t>
      </w:r>
      <w:r>
        <w:rPr>
          <w:rFonts w:ascii="Times New Roman" w:cs="Times New Roman" w:eastAsia="Times New Roman" w:hAnsi="Times New Roman"/>
          <w:sz w:val="24"/>
          <w:szCs w:val="24"/>
          <w:highlight w:val="yellow"/>
          <w:highlightCs w:val="yellow"/>
        </w:rPr>
        <w:t xml:space="preserve">[•]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anos / até que o DONATÁRIO complete </w:t>
      </w:r>
      <w:r>
        <w:rPr>
          <w:rFonts w:ascii="Times New Roman" w:cs="Times New Roman" w:eastAsia="Times New Roman" w:hAnsi="Times New Roman"/>
          <w:sz w:val="24"/>
          <w:szCs w:val="24"/>
          <w:highlight w:val="yellow"/>
          <w:highlightCs w:val="yellow"/>
        </w:rPr>
        <w:t xml:space="preserve">[•]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anos]. Nos termos do art. 1.911, a inalienabilidade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importa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impenhorabilidade e incomunicabilidade;</w:t>
      </w:r>
    </w:p>
    <w:p>
      <w:pPr>
        <w:spacing w:after="100" w:line="276"/>
        <w:ind w:left="420" w:right="0" w:hanging="34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[   ] 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REVERSÃO (art. 547)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— falecendo o DONATÁRIO antes do DOADOR, o imóvel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reverterá ao patrimônio do DOADOR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, cancelando-se o registro. </w:t>
      </w: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(É nula a reversão em favor de terceiro.)</w:t>
      </w:r>
    </w:p>
    <w:p>
      <w:pPr>
        <w:spacing w:after="140" w:line="276"/>
        <w:ind w:left="0" w:right="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5.2.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Os gravames serão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registrados/averbados na matrícula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do imóvel e poderão ser levantados mediante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autorização judicial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, comprovada a necessidade ou conveniência, com sub-rogação em outro bem (art. 1.911, parágrafo único).</w:t>
      </w:r>
    </w:p>
    <w:p>
      <w:pPr>
        <w:spacing w:after="140" w:line="276"/>
        <w:ind w:left="0" w:right="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5.3.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</w:t>
      </w:r>
      <w:r>
        <w:rPr>
          <w:rFonts w:ascii="Times New Roman" w:cs="Times New Roman" w:eastAsia="Times New Roman" w:hAnsi="Times New Roman"/>
          <w:sz w:val="24"/>
          <w:szCs w:val="24"/>
          <w:highlight w:val="yellow"/>
          <w:highlightCs w:val="yellow"/>
        </w:rPr>
        <w:t xml:space="preserve">[OPCIONAL — cláusula de administração]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Sendo o DONATÁRIO menor, a administração do bem caberá a </w:t>
      </w:r>
      <w:r>
        <w:rPr>
          <w:rFonts w:ascii="Times New Roman" w:cs="Times New Roman" w:eastAsia="Times New Roman" w:hAnsi="Times New Roman"/>
          <w:sz w:val="24"/>
          <w:szCs w:val="24"/>
          <w:highlight w:val="yellow"/>
          <w:highlightCs w:val="yellow"/>
        </w:rPr>
        <w:t xml:space="preserve">[NOME]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,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excluindo-se expressamente o usufruto e a administração do outro genitor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, nos termos do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art. 1.693, III, do Código Civil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.</w:t>
      </w:r>
    </w:p>
    <w:p>
      <w:pPr>
        <w:pBdr>
          <w:bottom w:val="single" w:color="BFBFBF" w:sz="6" w:space="1"/>
        </w:pBdr>
        <w:spacing w:after="160" w:before="60"/>
      </w:pPr>
      <w:r>
        <w:rPr>
          <w:sz w:val="2"/>
          <w:szCs w:val="2"/>
        </w:rPr>
        <w:t xml:space="preserve"/>
      </w:r>
    </w:p>
    <w:p>
      <w:pPr>
        <w:pStyle w:val="Heading1"/>
        <w:keepNext/>
        <w:spacing w:after="140" w:before="300"/>
        <w:jc w:val="left"/>
      </w:pPr>
      <w:r>
        <w:rPr>
          <w:rFonts w:ascii="Times New Roman" w:cs="Times New Roman" w:eastAsia="Times New Roman" w:hAnsi="Times New Roman"/>
          <w:b/>
          <w:bCs/>
          <w:color w:val="1A1A1A"/>
          <w:sz w:val="24"/>
          <w:szCs w:val="24"/>
        </w:rPr>
        <w:t xml:space="preserve">CLÁUSULA SEXTA — DA REVOGAÇÃO POR INGRATIDÃO</w:t>
      </w:r>
    </w:p>
    <w:p>
      <w:pPr>
        <w:spacing w:after="140" w:line="276"/>
        <w:ind w:left="0" w:right="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6.1.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A doação poderá ser revogada por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ingratidão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nas hipóteses do art. 557 do Código Civil, mediante ação proposta no prazo decadencial de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1 (um) ano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(art. 559), sendo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nula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a renúncia antecipada a esse direito (art. 556).</w:t>
      </w:r>
    </w:p>
    <w:p>
      <w:pPr>
        <w:pBdr>
          <w:bottom w:val="single" w:color="BFBFBF" w:sz="6" w:space="1"/>
        </w:pBdr>
        <w:spacing w:after="160" w:before="60"/>
      </w:pPr>
      <w:r>
        <w:rPr>
          <w:sz w:val="2"/>
          <w:szCs w:val="2"/>
        </w:rPr>
        <w:t xml:space="preserve"/>
      </w:r>
    </w:p>
    <w:p>
      <w:pPr>
        <w:pStyle w:val="Heading1"/>
        <w:keepNext/>
        <w:spacing w:after="140" w:before="300"/>
        <w:jc w:val="left"/>
      </w:pPr>
      <w:r>
        <w:rPr>
          <w:rFonts w:ascii="Times New Roman" w:cs="Times New Roman" w:eastAsia="Times New Roman" w:hAnsi="Times New Roman"/>
          <w:b/>
          <w:bCs/>
          <w:color w:val="1A1A1A"/>
          <w:sz w:val="24"/>
          <w:szCs w:val="24"/>
        </w:rPr>
        <w:t xml:space="preserve">CLÁUSULA SÉTIMA — DOS TRIBUTOS, DESPESAS E REGISTRO</w:t>
      </w:r>
    </w:p>
    <w:p>
      <w:pPr>
        <w:spacing w:after="140" w:line="276"/>
        <w:ind w:left="0" w:right="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7.1.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O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ITCMD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devido ao Estado de </w:t>
      </w:r>
      <w:r>
        <w:rPr>
          <w:rFonts w:ascii="Times New Roman" w:cs="Times New Roman" w:eastAsia="Times New Roman" w:hAnsi="Times New Roman"/>
          <w:sz w:val="24"/>
          <w:szCs w:val="24"/>
          <w:highlight w:val="yellow"/>
          <w:highlightCs w:val="yellow"/>
        </w:rPr>
        <w:t xml:space="preserve">[•]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será recolhido por </w:t>
      </w:r>
      <w:r>
        <w:rPr>
          <w:rFonts w:ascii="Times New Roman" w:cs="Times New Roman" w:eastAsia="Times New Roman" w:hAnsi="Times New Roman"/>
          <w:b/>
          <w:bCs/>
          <w:sz w:val="24"/>
          <w:szCs w:val="24"/>
          <w:highlight w:val="yellow"/>
          <w:highlightCs w:val="yellow"/>
        </w:rPr>
        <w:t xml:space="preserve">[DONATÁRIO / DOADOR]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, previamente à lavratura desta escritura, conforme guia que fica arquivada.</w:t>
      </w:r>
    </w:p>
    <w:p>
      <w:pPr>
        <w:spacing w:after="140" w:line="276"/>
        <w:ind w:left="0" w:right="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7.2.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As despesas de escritura, emolumentos, certidões e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registro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na matrícula correm por conta do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DONATÁRIO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, que se obriga a promover o registro imediatamente, ciente de que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a propriedade somente se transmite com o registro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(art. 1.245 do Código Civil).</w:t>
      </w:r>
    </w:p>
    <w:p>
      <w:pPr>
        <w:spacing w:after="140" w:line="276"/>
        <w:ind w:left="0" w:right="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7.3.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O DOADOR apresenta as certidões relacionadas no Anexo I (certidões pessoais dos distribuidores cível, fiscal, criminal, trabalhista e de protestos; certidão de ônus e de ações reipersecutórias da matrícula; CND de IPTU; declaração de quitação de condomínio).</w:t>
      </w:r>
    </w:p>
    <w:p>
      <w:pPr>
        <w:pBdr>
          <w:bottom w:val="single" w:color="BFBFBF" w:sz="6" w:space="1"/>
        </w:pBdr>
        <w:spacing w:after="160" w:before="60"/>
      </w:pPr>
      <w:r>
        <w:rPr>
          <w:sz w:val="2"/>
          <w:szCs w:val="2"/>
        </w:rPr>
        <w:t xml:space="preserve"/>
      </w:r>
    </w:p>
    <w:p>
      <w:pPr>
        <w:pStyle w:val="Heading1"/>
        <w:keepNext/>
        <w:spacing w:after="140" w:before="300"/>
        <w:jc w:val="left"/>
      </w:pPr>
      <w:r>
        <w:rPr>
          <w:rFonts w:ascii="Times New Roman" w:cs="Times New Roman" w:eastAsia="Times New Roman" w:hAnsi="Times New Roman"/>
          <w:b/>
          <w:bCs/>
          <w:color w:val="1A1A1A"/>
          <w:sz w:val="24"/>
          <w:szCs w:val="24"/>
        </w:rPr>
        <w:t xml:space="preserve">CLÁUSULA OITAVA — DISPOSIÇÕES FINAIS E FORO</w:t>
      </w:r>
    </w:p>
    <w:p>
      <w:pPr>
        <w:spacing w:after="140" w:line="276"/>
        <w:ind w:left="0" w:right="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8.1.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O DOADOR não responde por evicção nem por vícios redibitórios (art. 552 do Código Civil), salvo doação modal, no limite do encargo.</w:t>
      </w:r>
    </w:p>
    <w:p>
      <w:pPr>
        <w:spacing w:after="140" w:line="276"/>
        <w:ind w:left="0" w:right="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8.2.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Esta escritura obriga herdeiros e sucessores.</w:t>
      </w:r>
    </w:p>
    <w:p>
      <w:pPr>
        <w:spacing w:after="140" w:line="276"/>
        <w:ind w:left="0" w:right="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8.3.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Fica eleito o foro da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situação do imóvel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.</w:t>
      </w:r>
    </w:p>
    <w:p>
      <w:pPr>
        <w:spacing w:after="140" w:line="276"/>
        <w:ind w:left="0" w:right="0"/>
        <w:jc w:val="both"/>
      </w:pPr>
      <w:r>
        <w:rPr>
          <w:rFonts w:ascii="Times New Roman" w:cs="Times New Roman" w:eastAsia="Times New Roman" w:hAnsi="Times New Roman"/>
          <w:sz w:val="24"/>
          <w:szCs w:val="24"/>
          <w:highlight w:val="yellow"/>
          <w:highlightCs w:val="yellow"/>
        </w:rPr>
        <w:t xml:space="preserve">[Cidade/UF]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, </w:t>
      </w:r>
      <w:r>
        <w:rPr>
          <w:rFonts w:ascii="Times New Roman" w:cs="Times New Roman" w:eastAsia="Times New Roman" w:hAnsi="Times New Roman"/>
          <w:sz w:val="24"/>
          <w:szCs w:val="24"/>
          <w:highlight w:val="yellow"/>
          <w:highlightCs w:val="yellow"/>
        </w:rPr>
        <w:t xml:space="preserve">[dd]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de </w:t>
      </w:r>
      <w:r>
        <w:rPr>
          <w:rFonts w:ascii="Times New Roman" w:cs="Times New Roman" w:eastAsia="Times New Roman" w:hAnsi="Times New Roman"/>
          <w:sz w:val="24"/>
          <w:szCs w:val="24"/>
          <w:highlight w:val="yellow"/>
          <w:highlightCs w:val="yellow"/>
        </w:rPr>
        <w:t xml:space="preserve">[mês]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de </w:t>
      </w:r>
      <w:r>
        <w:rPr>
          <w:rFonts w:ascii="Times New Roman" w:cs="Times New Roman" w:eastAsia="Times New Roman" w:hAnsi="Times New Roman"/>
          <w:sz w:val="24"/>
          <w:szCs w:val="24"/>
          <w:highlight w:val="yellow"/>
          <w:highlightCs w:val="yellow"/>
        </w:rPr>
        <w:t xml:space="preserve">[ano]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.</w:t>
      </w:r>
    </w:p>
    <w:tbl>
      <w:tblPr>
        <w:tblW w:type="dxa" w:w="9071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4535"/>
        <w:gridCol w:w="4536"/>
      </w:tblGrid>
      <w:tr>
        <w:tc>
          <w:tcPr>
            <w:tcW w:type="dxa" w:w="4535"/>
            <w:tcMar>
              <w:top w:type="dxa" w:w="0"/>
              <w:left w:type="dxa" w:w="0"/>
              <w:bottom w:type="dxa" w:w="0"/>
              <w:right w:type="dxa" w:w="200"/>
            </w:tcMar>
          </w:tcPr>
          <w:p>
            <w:pPr>
              <w:pBdr>
                <w:bottom w:val="single" w:color="000000" w:sz="6" w:space="1"/>
              </w:pBdr>
              <w:spacing w:after="40" w:before="240"/>
              <w:jc w:val="center"/>
            </w:pPr>
            <w:r>
              <w:rPr>
                <w:sz w:val="20"/>
                <w:szCs w:val="20"/>
              </w:rPr>
              <w:t xml:space="preserve"/>
            </w:r>
          </w:p>
          <w:p>
            <w:pPr>
              <w:spacing w:after="16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DOADOR(A)</w:t>
            </w:r>
          </w:p>
        </w:tc>
        <w:tc>
          <w:tcPr>
            <w:tcW w:type="dxa" w:w="4536"/>
            <w:tcMar>
              <w:top w:type="dxa" w:w="0"/>
              <w:left w:type="dxa" w:w="0"/>
              <w:bottom w:type="dxa" w:w="0"/>
              <w:right w:type="dxa" w:w="200"/>
            </w:tcMar>
          </w:tcPr>
          <w:p>
            <w:pPr>
              <w:pBdr>
                <w:bottom w:val="single" w:color="000000" w:sz="6" w:space="1"/>
              </w:pBdr>
              <w:spacing w:after="40" w:before="240"/>
              <w:jc w:val="center"/>
            </w:pPr>
            <w:r>
              <w:rPr>
                <w:sz w:val="20"/>
                <w:szCs w:val="20"/>
              </w:rPr>
              <w:t xml:space="preserve"/>
            </w:r>
          </w:p>
          <w:p>
            <w:pPr>
              <w:spacing w:after="16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CÔNJUGE DO(A) DOADOR(A)</w:t>
            </w:r>
          </w:p>
        </w:tc>
      </w:tr>
    </w:tbl>
    <w:p>
      <w:pPr>
        <w:spacing w:after="120"/>
      </w:pPr>
      <w:r>
        <w:rPr>
          <w:sz w:val="8"/>
          <w:szCs w:val="8"/>
        </w:rPr>
        <w:t xml:space="preserve"/>
      </w:r>
    </w:p>
    <w:tbl>
      <w:tblPr>
        <w:tblW w:type="dxa" w:w="9071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071"/>
      </w:tblGrid>
      <w:tr>
        <w:tc>
          <w:tcPr>
            <w:tcW w:type="dxa" w:w="9071"/>
            <w:tcMar>
              <w:top w:type="dxa" w:w="0"/>
              <w:left w:type="dxa" w:w="0"/>
              <w:bottom w:type="dxa" w:w="0"/>
              <w:right w:type="dxa" w:w="200"/>
            </w:tcMar>
          </w:tcPr>
          <w:p>
            <w:pPr>
              <w:pBdr>
                <w:bottom w:val="single" w:color="000000" w:sz="6" w:space="1"/>
              </w:pBdr>
              <w:spacing w:after="40" w:before="240"/>
              <w:jc w:val="center"/>
            </w:pPr>
            <w:r>
              <w:rPr>
                <w:sz w:val="20"/>
                <w:szCs w:val="20"/>
              </w:rPr>
              <w:t xml:space="preserve"/>
            </w:r>
          </w:p>
          <w:p>
            <w:pPr>
              <w:spacing w:after="16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DONATÁRIO(A)</w:t>
            </w:r>
          </w:p>
        </w:tc>
      </w:tr>
    </w:tbl>
    <w:p>
      <w:pPr>
        <w:spacing w:after="120"/>
      </w:pPr>
      <w:r>
        <w:rPr>
          <w:sz w:val="8"/>
          <w:szCs w:val="8"/>
        </w:rPr>
        <w:t xml:space="preserve"/>
      </w:r>
    </w:p>
    <w:p>
      <w:pPr>
        <w:spacing w:after="140" w:line="276"/>
        <w:ind w:left="0" w:right="0"/>
        <w:jc w:val="both"/>
      </w:pP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(Instrumento a ser lavrado por escritura pública — art. 108 do Código Civil — e levado a registro no Cartório de Registro de Imóveis.)</w:t>
      </w:r>
    </w:p>
    <w:p>
      <w:pPr>
        <w:pBdr>
          <w:bottom w:val="single" w:color="BFBFBF" w:sz="6" w:space="1"/>
        </w:pBdr>
        <w:spacing w:after="160" w:before="60"/>
      </w:pPr>
      <w:r>
        <w:rPr>
          <w:sz w:val="2"/>
          <w:szCs w:val="2"/>
        </w:rPr>
        <w:t xml:space="preserve"/>
      </w:r>
    </w:p>
    <w:p>
      <w:pPr>
        <w:pStyle w:val="Heading1"/>
        <w:keepNext/>
        <w:spacing w:after="140" w:before="300"/>
        <w:jc w:val="left"/>
      </w:pPr>
      <w:r>
        <w:rPr>
          <w:rFonts w:ascii="Times New Roman" w:cs="Times New Roman" w:eastAsia="Times New Roman" w:hAnsi="Times New Roman"/>
          <w:b/>
          <w:bCs/>
          <w:color w:val="1A1A1A"/>
          <w:sz w:val="24"/>
          <w:szCs w:val="24"/>
        </w:rPr>
        <w:t xml:space="preserve">Notas técnicas </w:t>
      </w:r>
      <w:r>
        <w:rPr>
          <w:rFonts w:ascii="Times New Roman" w:cs="Times New Roman" w:eastAsia="Times New Roman" w:hAnsi="Times New Roman"/>
          <w:b/>
          <w:bCs/>
          <w:i/>
          <w:iCs/>
          <w:color w:val="1A1A1A"/>
          <w:sz w:val="24"/>
          <w:szCs w:val="24"/>
        </w:rPr>
        <w:t xml:space="preserve">(remover da via final)</w:t>
      </w:r>
    </w:p>
    <w:p>
      <w:pPr>
        <w:spacing w:after="100" w:line="276"/>
        <w:ind w:left="420" w:right="0" w:hanging="34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1. 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Escritura pública é obrigatória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para imóvel de valor superior a 30 salários mínimos (art. 108) — e, na prática, sempre, porque o registro depende dela.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Registro é constitutivo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: sem ele, o donatário não é proprietário.</w:t>
      </w:r>
    </w:p>
    <w:p>
      <w:pPr>
        <w:spacing w:after="100" w:line="276"/>
        <w:ind w:left="420" w:right="0" w:hanging="34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2. 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Doação sem usufruto entrega o controle total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ao donatário: ele pode vender, hipotecar, e o bem responde por suas dívidas (salvo cláusula de impenhorabilidade) e entra na sua partilha em caso de divórcio (salvo incomunicabilidade). Em planejamento sucessório de pais para filhos,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avalie o modelo 27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(com reserva de usufruto), que preserva a renda e o controle do doador.</w:t>
      </w:r>
    </w:p>
    <w:p>
      <w:pPr>
        <w:spacing w:after="100" w:line="276"/>
        <w:ind w:left="420" w:right="0" w:hanging="34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3. 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Doação inoficiosa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(art. 549) é a causa mais comum de anulação parcial. Calcule a metade disponível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na data da doação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, considerando todo o patrimônio do doador, e guarde a memória de cálculo com as certidões e avaliações.</w:t>
      </w:r>
    </w:p>
    <w:p>
      <w:pPr>
        <w:spacing w:after="100" w:line="276"/>
        <w:ind w:left="420" w:right="0" w:hanging="34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4. 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Colação.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Se o donatário é descendente, a dispensa (cláusula 4.1)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precisa estar no título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— depois é tarde. E dispensa não significa isenção: se ultrapassar a disponível, haverá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redução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(art. 2.007).</w:t>
      </w:r>
    </w:p>
    <w:p>
      <w:pPr>
        <w:spacing w:after="100" w:line="276"/>
        <w:ind w:left="420" w:right="0" w:hanging="34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5. 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Doação de pai para filho com exclusão do usufruto do outro genitor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(cláusula 5.3) é ferramenta útil em famílias recompostas ou após divórcio litigioso — base no art. 1.693, III.</w:t>
      </w:r>
    </w:p>
    <w:p>
      <w:pPr>
        <w:spacing w:after="100" w:line="276"/>
        <w:ind w:left="420" w:right="0" w:hanging="34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6. 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Doação a mais de um donatário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presume-se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em partes iguais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(art. 551); se for conjuntiva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a cônjuges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, subsiste ao sobrevivente (art. 551, parágrafo único). Explicite as frações.</w:t>
      </w:r>
    </w:p>
    <w:p>
      <w:pPr>
        <w:spacing w:after="100" w:line="276"/>
        <w:ind w:left="420" w:right="0" w:hanging="34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7. 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Doação de imóvel rural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exige, além de tudo, CCIR, CND do ITR, georreferenciamento e observância da fração mínima de parcelamento — veja o checklist do modelo 09.</w:t>
      </w:r>
    </w:p>
    <w:p>
      <w:pPr>
        <w:spacing w:after="100" w:line="276"/>
        <w:ind w:left="420" w:right="0" w:hanging="34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8. 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Fraude a credores.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Doação por devedor é o alvo preferencial da ação pauliana (art. 158) e da fraude à execução. Exija todas as certidões pessoais do doador — a boa-fé do donatário será questionada.</w:t>
      </w:r>
    </w:p>
    <w:p>
      <w:pPr>
        <w:spacing w:after="100" w:line="276"/>
        <w:ind w:left="420" w:right="0" w:hanging="34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9. 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ITCMD.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Alíquotas e base de cálculo variam por estado; a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EC 132/2023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tornou obrigatória a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progressividade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do ITCMD e alterou regras de competência (doador no exterior, entre outras). Confira a lei estadual vigente antes de calcular.</w:t>
      </w:r>
    </w:p>
    <w:sectPr>
      <w:footerReference w:type="default" r:id="rId7"/>
      <w:pgSz w:w="11906" w:h="16838" w:orient="portrait"/>
      <w:pgMar w:top="1134" w:right="1134" w:bottom="1134" w:left="1701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BFBFBF" w:sz="4" w:space="6"/>
      </w:pBdr>
      <w:spacing w:after="0" w:before="120"/>
      <w:jc w:val="center"/>
    </w:pPr>
    <w:r>
      <w:rPr>
        <w:rFonts w:ascii="Times New Roman" w:cs="Times New Roman" w:eastAsia="Times New Roman" w:hAnsi="Times New Roman"/>
        <w:color w:val="444444"/>
        <w:sz w:val="16"/>
        <w:szCs w:val="16"/>
      </w:rPr>
      <w:t xml:space="preserve">Minuta — conferir e adaptar antes do uso   |   </w:t>
    </w:r>
    <w:r>
      <w:rPr>
        <w:rFonts w:ascii="Times New Roman" w:cs="Times New Roman" w:eastAsia="Times New Roman" w:hAnsi="Times New Roman"/>
        <w:color w:val="444444"/>
        <w:sz w:val="16"/>
        <w:szCs w:val="16"/>
      </w:rPr>
      <w:t xml:space="preserve">Pág. </w:t>
      <w:fldChar w:fldCharType="begin"/>
      <w:instrText xml:space="preserve">PAGE</w:instrText>
      <w:fldChar w:fldCharType="separate"/>
      <w:fldChar w:fldCharType="end"/>
      <w:t xml:space="preserve"> de </w:t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00"/>
      </w:pPr>
      <w:rPr>
        <w:rFonts w:ascii="Times New Roman" w:cs="Times New Roman" w:eastAsia="Times New Roman" w:hAnsi="Times New Roman"/>
      </w:rPr>
    </w:lvl>
    <w:lvl w:ilvl="1" w15:tentative="1">
      <w:start w:val="1"/>
      <w:numFmt w:val="bullet"/>
      <w:lvlText w:val="–"/>
      <w:lvlJc w:val="left"/>
      <w:pPr>
        <w:ind w:left="1080" w:hanging="300"/>
      </w:pPr>
      <w:rPr>
        <w:rFonts w:ascii="Times New Roman" w:cs="Times New Roman" w:eastAsia="Times New Roman" w:hAnsi="Times New Roman"/>
      </w:r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1060" w:hanging="300"/>
      </w:pPr>
      <w:rPr>
        <w:rFonts w:ascii="Times New Roman" w:cs="Times New Roman" w:eastAsia="Times New Roman" w:hAnsi="Times New Roman"/>
        <w:sz w:val="20"/>
        <w:szCs w:val="20"/>
      </w:rPr>
    </w:lvl>
    <w:lvl w:ilvl="1" w15:tentative="1">
      <w:start w:val="1"/>
      <w:numFmt w:val="bullet"/>
      <w:lvlText w:val="–"/>
      <w:lvlJc w:val="left"/>
      <w:pPr>
        <w:ind w:left="1400" w:hanging="300"/>
      </w:pPr>
      <w:rPr>
        <w:rFonts w:ascii="Times New Roman" w:cs="Times New Roman" w:eastAsia="Times New Roman" w:hAnsi="Times New Roman"/>
        <w:sz w:val="20"/>
        <w:szCs w:val="20"/>
      </w:r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color w:val="000000"/>
        <w:sz w:val="24"/>
        <w:szCs w:val="24"/>
      </w:rPr>
    </w:rPrDefault>
    <w:pPrDefault>
      <w:pPr>
        <w:spacing w:after="140" w:line="276"/>
        <w:jc w:val="both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pPr>
      <w:spacing w:after="140" w:before="300"/>
      <w:jc w:val="left"/>
    </w:pPr>
    <w:rPr>
      <w:rFonts w:ascii="Times New Roman" w:cs="Times New Roman" w:eastAsia="Times New Roman" w:hAnsi="Times New Roman"/>
      <w:b/>
      <w:bCs/>
      <w:color w:val="1A1A1A"/>
      <w:sz w:val="24"/>
      <w:szCs w:val="24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ESCRITURA PÚBLICA DE DOAÇÃO DE BEM IMÓVEL</dc:title>
  <dc:creator>Acervo de Modelos Contratuais</dc:creator>
  <dc:description>Minuta contratual — modelo para adaptação</dc:description>
  <cp:lastModifiedBy>Un-named</cp:lastModifiedBy>
  <cp:revision>1</cp:revision>
  <dcterms:created xsi:type="dcterms:W3CDTF">2026-08-31T15:51:10.378Z</dcterms:created>
  <dcterms:modified xsi:type="dcterms:W3CDTF">2026-08-31T15:51:10.378Z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