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Acervo de Modelos Contratuais</w:t>
      </w:r>
    </w:p>
    <w:p>
      <w:pPr>
        <w:spacing w:after="140" w:line="276"/>
        <w:ind w:left="0" w:right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Coletânea de minutas contratuais elaboradas para uso do escritório, com fundamentação na legislação, doutrina e jurisprudência vigentes.</w:t>
      </w:r>
    </w:p>
    <w:p>
      <w:pPr>
        <w:pStyle w:val="Heading1"/>
        <w:keepNext/>
        <w:spacing w:after="140" w:before="300"/>
        <w:jc w:val="left"/>
      </w:pPr>
      <w:r>
        <w:rPr>
          <w:rFonts w:ascii="Times New Roman" w:cs="Times New Roman" w:eastAsia="Times New Roman" w:hAnsi="Times New Roman"/>
          <w:b/>
          <w:bCs/>
          <w:color w:val="1A1A1A"/>
          <w:sz w:val="24"/>
          <w:szCs w:val="24"/>
        </w:rPr>
        <w:t xml:space="preserve">Formatos disponíveis</w:t>
      </w:r>
    </w:p>
    <w:p>
      <w:pPr>
        <w:spacing w:after="140" w:line="276"/>
        <w:ind w:left="0" w:right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Cada modelo existe em duas versões: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Markdown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nsolas" w:cs="Consolas" w:eastAsia="Consolas" w:hAnsi="Consolas"/>
          <w:sz w:val="22"/>
          <w:szCs w:val="22"/>
        </w:rPr>
        <w:t xml:space="preserve">.md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— nesta pasta, para leitura rápida, versionamento e comparação de alterações.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nsolas" w:cs="Consolas" w:eastAsia="Consolas" w:hAnsi="Consolas"/>
          <w:sz w:val="22"/>
          <w:szCs w:val="22"/>
        </w:rPr>
        <w:t xml:space="preserve">.docx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— na subpasta </w:t>
      </w:r>
      <w:r>
        <w:rPr>
          <w:rFonts w:ascii="Consolas" w:cs="Consolas" w:eastAsia="Consolas" w:hAnsi="Consolas"/>
          <w:sz w:val="22"/>
          <w:szCs w:val="22"/>
        </w:rPr>
        <w:t xml:space="preserve">docx/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pronta para edição e impressão: A4, margens forenses (3 cm à esquerda), Times New Roman 12, texto justificado, rodapé com numeração de páginas e blocos de assinatura já montados.</w:t>
      </w:r>
    </w:p>
    <w:p>
      <w:pPr>
        <w:spacing w:after="140" w:line="276"/>
        <w:ind w:left="0" w:right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Nos arquivos </w:t>
      </w:r>
      <w:r>
        <w:rPr>
          <w:rFonts w:ascii="Consolas" w:cs="Consolas" w:eastAsia="Consolas" w:hAnsi="Consolas"/>
          <w:sz w:val="22"/>
          <w:szCs w:val="22"/>
        </w:rPr>
        <w:t xml:space="preserve">.docx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todo campo de preenchimento aparece realçado em amarelo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nsolas" w:cs="Consolas" w:eastAsia="Consolas" w:hAnsi="Consolas"/>
          <w:sz w:val="22"/>
          <w:szCs w:val="22"/>
        </w:rPr>
        <w:t xml:space="preserve">[assim]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 Para retirar o realce depois de preencher, selecione tudo (Ctrl+A) e defina a cor de realce como "Sem cor".</w:t>
      </w:r>
    </w:p>
    <w:p>
      <w:pPr>
        <w:spacing w:after="140" w:line="276"/>
        <w:ind w:left="0" w:right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Os </w:t>
      </w:r>
      <w:r>
        <w:rPr>
          <w:rFonts w:ascii="Consolas" w:cs="Consolas" w:eastAsia="Consolas" w:hAnsi="Consolas"/>
          <w:sz w:val="22"/>
          <w:szCs w:val="22"/>
        </w:rPr>
        <w:t xml:space="preserve">.docx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são gerados a partir dos </w:t>
      </w:r>
      <w:r>
        <w:rPr>
          <w:rFonts w:ascii="Consolas" w:cs="Consolas" w:eastAsia="Consolas" w:hAnsi="Consolas"/>
          <w:sz w:val="22"/>
          <w:szCs w:val="22"/>
        </w:rPr>
        <w:t xml:space="preserve">.md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Ao alterar um modelo, edite o </w:t>
      </w:r>
      <w:r>
        <w:rPr>
          <w:rFonts w:ascii="Consolas" w:cs="Consolas" w:eastAsia="Consolas" w:hAnsi="Consolas"/>
          <w:sz w:val="22"/>
          <w:szCs w:val="22"/>
        </w:rPr>
        <w:t xml:space="preserve">.md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regere o </w:t>
      </w:r>
      <w:r>
        <w:rPr>
          <w:rFonts w:ascii="Consolas" w:cs="Consolas" w:eastAsia="Consolas" w:hAnsi="Consolas"/>
          <w:sz w:val="22"/>
          <w:szCs w:val="22"/>
        </w:rPr>
        <w:t xml:space="preserve">.docx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para manter as duas versões sincronizadas.</w:t>
      </w:r>
    </w:p>
    <w:p>
      <w:pPr>
        <w:pStyle w:val="Heading1"/>
        <w:keepNext/>
        <w:spacing w:after="140" w:before="300"/>
        <w:jc w:val="left"/>
      </w:pPr>
      <w:r>
        <w:rPr>
          <w:rFonts w:ascii="Times New Roman" w:cs="Times New Roman" w:eastAsia="Times New Roman" w:hAnsi="Times New Roman"/>
          <w:b/>
          <w:bCs/>
          <w:color w:val="1A1A1A"/>
          <w:sz w:val="24"/>
          <w:szCs w:val="24"/>
        </w:rPr>
        <w:t xml:space="preserve">Como usar</w:t>
      </w:r>
    </w:p>
    <w:p>
      <w:pPr>
        <w:spacing w:after="100" w:line="276"/>
        <w:ind w:left="420" w:right="0" w:hanging="3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1. 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Todo campo entre colchetes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[ ]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é de preenchimento obrigatório.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Não circule minuta com colchete remanescente.</w:t>
      </w:r>
    </w:p>
    <w:p>
      <w:pPr>
        <w:spacing w:after="100" w:line="276"/>
        <w:ind w:left="420" w:right="0" w:hanging="3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2. 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Cláusulas marcadas como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[OPCIONAL]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devem ser mantidas ou excluídas conforme a negociação. Cláusula opcional mantida por inércia é fonte de litígio.</w:t>
      </w:r>
    </w:p>
    <w:p>
      <w:pPr>
        <w:spacing w:after="100" w:line="276"/>
        <w:ind w:left="420" w:right="0" w:hanging="3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3. 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Cada modelo traz, ao final, um bloco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"Notas técnicas"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orientações de preenchimento, alertas de risco, exigências de forma (escritura pública, registro, reconhecimento de firma) e tributos incidentes. Esse bloco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integra o contrato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deve ser removido da via entregue às partes.</w:t>
      </w:r>
    </w:p>
    <w:p>
      <w:pPr>
        <w:spacing w:after="100" w:line="276"/>
        <w:ind w:left="420" w:right="0" w:hanging="3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4. 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Adaptação é obrigatória.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Modelo é ponto de partida, não produto final. A responsabilidade técnica pela minuta assinada é do advogado subscritor (art. 32 da Lei 8.906/94).</w:t>
      </w:r>
    </w:p>
    <w:p>
      <w:pPr>
        <w:pStyle w:val="Heading1"/>
        <w:keepNext/>
        <w:spacing w:after="140" w:before="300"/>
        <w:jc w:val="left"/>
      </w:pPr>
      <w:r>
        <w:rPr>
          <w:rFonts w:ascii="Times New Roman" w:cs="Times New Roman" w:eastAsia="Times New Roman" w:hAnsi="Times New Roman"/>
          <w:b/>
          <w:bCs/>
          <w:color w:val="1A1A1A"/>
          <w:sz w:val="24"/>
          <w:szCs w:val="24"/>
        </w:rPr>
        <w:t xml:space="preserve">Convenções de forma adotadas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Duas testemunhas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são mantidas em todos os contratos de natureza obrigacional: conferem eficácia de título executivo extrajudicial (art. 784, III, do CPC). Quando a assinatura for eletrônica com verificação de integridade por provedor, as testemunhas são dispensáveis (art. 784, § 4º, do CPC, incluído pela Lei 14.620/2023).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Escritura pública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indicada expressamente sempre que a lei a exige como requisito de validade (art. 108 e art. 1.653 do Código Civil, entre outros). Nesses casos a minuta serve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texto-base para lavratura em Tabelionato de Notas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não de instrumento definitivo.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Foro de eleição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consta em todos os modelos, com ressalva expressa nos casos em que a lei fixa foro protetivo (representação comercial, relação de consumo, relação de trabalho).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Correção monetária e juros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adotado o regime do art. 389, parágrafo único, e do art. 406 do Código Civil, na redação da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Lei 14.905/2024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(IPCA para correção; taxa legal = Selic deduzido o IPCA).</w:t>
      </w:r>
    </w:p>
    <w:p>
      <w:pPr>
        <w:pStyle w:val="Heading1"/>
        <w:keepNext/>
        <w:spacing w:after="140" w:before="300"/>
        <w:jc w:val="left"/>
      </w:pPr>
      <w:r>
        <w:rPr>
          <w:rFonts w:ascii="Times New Roman" w:cs="Times New Roman" w:eastAsia="Times New Roman" w:hAnsi="Times New Roman"/>
          <w:b/>
          <w:bCs/>
          <w:color w:val="1A1A1A"/>
          <w:sz w:val="24"/>
          <w:szCs w:val="24"/>
        </w:rPr>
        <w:t xml:space="preserve">Índice</w:t>
      </w:r>
    </w:p>
    <w:tbl>
      <w:tblPr>
        <w:tblW w:type="dxa" w:w="9071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17"/>
        <w:gridCol w:w="3973"/>
        <w:gridCol w:w="3881"/>
      </w:tblGrid>
      <w:tr>
        <w:trPr>
          <w:tblHeader/>
        </w:trPr>
        <w:tc>
          <w:tcPr>
            <w:tcW w:type="dxa" w:w="1217"/>
            <w:shd w:fill="DDDDD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Nº</w:t>
            </w:r>
          </w:p>
        </w:tc>
        <w:tc>
          <w:tcPr>
            <w:tcW w:type="dxa" w:w="3973"/>
            <w:shd w:fill="DDDDD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Modelo</w:t>
            </w:r>
          </w:p>
        </w:tc>
        <w:tc>
          <w:tcPr>
            <w:tcW w:type="dxa" w:w="3881"/>
            <w:shd w:fill="DDDDD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Arquivo</w:t>
            </w:r>
          </w:p>
        </w:tc>
      </w:tr>
      <w:tr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</w:t>
            </w:r>
          </w:p>
        </w:tc>
        <w:tc>
          <w:tcPr>
            <w:tcW w:type="dxa" w:w="3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Locação de bem imóvel urbano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01-locacao-imovel-urbano.md</w:t>
            </w:r>
          </w:p>
        </w:tc>
      </w:tr>
      <w:tr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02</w:t>
            </w:r>
          </w:p>
        </w:tc>
        <w:tc>
          <w:tcPr>
            <w:tcW w:type="dxa" w:w="3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Locação de imóvel por temporada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02-locacao-imovel-temporada.md</w:t>
            </w:r>
          </w:p>
        </w:tc>
      </w:tr>
      <w:tr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03</w:t>
            </w:r>
          </w:p>
        </w:tc>
        <w:tc>
          <w:tcPr>
            <w:tcW w:type="dxa" w:w="3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Locação de bem móvel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03-locacao-bem-movel.md</w:t>
            </w:r>
          </w:p>
        </w:tc>
      </w:tr>
      <w:tr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04</w:t>
            </w:r>
          </w:p>
        </w:tc>
        <w:tc>
          <w:tcPr>
            <w:tcW w:type="dxa" w:w="3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Comodato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04-comodato.md</w:t>
            </w:r>
          </w:p>
        </w:tc>
      </w:tr>
      <w:tr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05</w:t>
            </w:r>
          </w:p>
        </w:tc>
        <w:tc>
          <w:tcPr>
            <w:tcW w:type="dxa" w:w="3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Compra e venda de bem imóvel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05-compra-e-venda-imovel.md</w:t>
            </w:r>
          </w:p>
        </w:tc>
      </w:tr>
      <w:tr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06</w:t>
            </w:r>
          </w:p>
        </w:tc>
        <w:tc>
          <w:tcPr>
            <w:tcW w:type="dxa" w:w="3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Promessa de compra e venda de imóvel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06-promessa-compra-e-venda-imovel.md</w:t>
            </w:r>
          </w:p>
        </w:tc>
      </w:tr>
      <w:tr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07</w:t>
            </w:r>
          </w:p>
        </w:tc>
        <w:tc>
          <w:tcPr>
            <w:tcW w:type="dxa" w:w="3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Compra e venda de bem móvel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07-compra-e-venda-bem-movel.md</w:t>
            </w:r>
          </w:p>
        </w:tc>
      </w:tr>
      <w:tr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08</w:t>
            </w:r>
          </w:p>
        </w:tc>
        <w:tc>
          <w:tcPr>
            <w:tcW w:type="dxa" w:w="3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Compra e venda de semoventes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08-compra-e-venda-semovente.md</w:t>
            </w:r>
          </w:p>
        </w:tc>
      </w:tr>
      <w:tr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09</w:t>
            </w:r>
          </w:p>
        </w:tc>
        <w:tc>
          <w:tcPr>
            <w:tcW w:type="dxa" w:w="3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Compra e venda de imóvel rural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09-compra-e-venda-imovel-rural.md</w:t>
            </w:r>
          </w:p>
        </w:tc>
      </w:tr>
      <w:tr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3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Arrendamento de imóvel rural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10-arrendamento-rural.md</w:t>
            </w:r>
          </w:p>
        </w:tc>
      </w:tr>
      <w:tr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3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Prestação de serviços (geral)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11-prestacao-de-servicos.md</w:t>
            </w:r>
          </w:p>
        </w:tc>
      </w:tr>
      <w:tr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3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Trabalho por prazo determinado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12-trabalho-prazo-determinado.md</w:t>
            </w:r>
          </w:p>
        </w:tc>
      </w:tr>
      <w:tr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3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Trabalho por empreitada (pequena empreitada)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13-empreitada-de-lavor.md</w:t>
            </w:r>
          </w:p>
        </w:tc>
      </w:tr>
      <w:tr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3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Construção civil (empreitada)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14-construcao-civil.md</w:t>
            </w:r>
          </w:p>
        </w:tc>
      </w:tr>
      <w:tr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3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Administração de obra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15-administracao-de-obra.md</w:t>
            </w:r>
          </w:p>
        </w:tc>
      </w:tr>
      <w:tr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3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Honorários advocatícios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16-honorarios-advocaticios.md</w:t>
            </w:r>
          </w:p>
        </w:tc>
      </w:tr>
      <w:tr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3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Serviços de contabilidade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17-servicos-contabeis.md</w:t>
            </w:r>
          </w:p>
        </w:tc>
      </w:tr>
      <w:tr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3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Desenvolvimento de software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18-desenvolvimento-de-software.md</w:t>
            </w:r>
          </w:p>
        </w:tc>
      </w:tr>
      <w:tr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3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Contrato social de sociedade simples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19-contrato-social-sociedade-simples.md</w:t>
            </w:r>
          </w:p>
        </w:tc>
      </w:tr>
      <w:tr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3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Acordo de sócios (quotistas)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20-acordo-de-socios.md</w:t>
            </w:r>
          </w:p>
        </w:tc>
      </w:tr>
      <w:tr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21</w:t>
            </w:r>
          </w:p>
        </w:tc>
        <w:tc>
          <w:tcPr>
            <w:tcW w:type="dxa" w:w="3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Contrato de namoro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21-contrato-de-namoro.md</w:t>
            </w:r>
          </w:p>
        </w:tc>
      </w:tr>
      <w:tr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3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Pacto antenupcial extrajudicial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22-pacto-antenupcial.md</w:t>
            </w:r>
          </w:p>
        </w:tc>
      </w:tr>
      <w:tr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23</w:t>
            </w:r>
          </w:p>
        </w:tc>
        <w:tc>
          <w:tcPr>
            <w:tcW w:type="dxa" w:w="3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Testamento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23-testamento.md</w:t>
            </w:r>
          </w:p>
        </w:tc>
      </w:tr>
      <w:tr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24</w:t>
            </w:r>
          </w:p>
        </w:tc>
        <w:tc>
          <w:tcPr>
            <w:tcW w:type="dxa" w:w="3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Cessão onerosa de direitos hereditários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24-cessao-direitos-hereditarios-onerosa.md</w:t>
            </w:r>
          </w:p>
        </w:tc>
      </w:tr>
      <w:tr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25</w:t>
            </w:r>
          </w:p>
        </w:tc>
        <w:tc>
          <w:tcPr>
            <w:tcW w:type="dxa" w:w="3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Doação de bem móvel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25-doacao-bem-movel.md</w:t>
            </w:r>
          </w:p>
        </w:tc>
      </w:tr>
      <w:tr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26</w:t>
            </w:r>
          </w:p>
        </w:tc>
        <w:tc>
          <w:tcPr>
            <w:tcW w:type="dxa" w:w="3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Doação de imóvel sem usufruto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26-doacao-imovel-sem-usufruto.md</w:t>
            </w:r>
          </w:p>
        </w:tc>
      </w:tr>
      <w:tr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27</w:t>
            </w:r>
          </w:p>
        </w:tc>
        <w:tc>
          <w:tcPr>
            <w:tcW w:type="dxa" w:w="3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Doação de imóvel com reserva de usufruto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27-doacao-imovel-com-usufruto.md</w:t>
            </w:r>
          </w:p>
        </w:tc>
      </w:tr>
      <w:tr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29</w:t>
            </w:r>
          </w:p>
        </w:tc>
        <w:tc>
          <w:tcPr>
            <w:tcW w:type="dxa" w:w="3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Cessão gratuita de direitos hereditários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29-cessao-direitos-hereditarios-gratuita.md</w:t>
            </w:r>
          </w:p>
        </w:tc>
      </w:tr>
      <w:tr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</w:t>
            </w:r>
          </w:p>
        </w:tc>
        <w:tc>
          <w:tcPr>
            <w:tcW w:type="dxa" w:w="3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Mútuo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30-mutuo.md</w:t>
            </w:r>
          </w:p>
        </w:tc>
      </w:tr>
      <w:tr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31</w:t>
            </w:r>
          </w:p>
        </w:tc>
        <w:tc>
          <w:tcPr>
            <w:tcW w:type="dxa" w:w="3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Mútuo com alienação fiduciária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31-mutuo-alienacao-fiduciaria.md</w:t>
            </w:r>
          </w:p>
        </w:tc>
      </w:tr>
      <w:tr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32</w:t>
            </w:r>
          </w:p>
        </w:tc>
        <w:tc>
          <w:tcPr>
            <w:tcW w:type="dxa" w:w="3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Fomento mercantil (factoring)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32-factoring.md</w:t>
            </w:r>
          </w:p>
        </w:tc>
      </w:tr>
      <w:tr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33</w:t>
            </w:r>
          </w:p>
        </w:tc>
        <w:tc>
          <w:tcPr>
            <w:tcW w:type="dxa" w:w="3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Representação comercial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33-representacao-comercial.md</w:t>
            </w:r>
          </w:p>
        </w:tc>
      </w:tr>
      <w:tr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34</w:t>
            </w:r>
          </w:p>
        </w:tc>
        <w:tc>
          <w:tcPr>
            <w:tcW w:type="dxa" w:w="3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Serviços de marketing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34-marketing.md</w:t>
            </w:r>
          </w:p>
        </w:tc>
      </w:tr>
      <w:tr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35</w:t>
            </w:r>
          </w:p>
        </w:tc>
        <w:tc>
          <w:tcPr>
            <w:tcW w:type="dxa" w:w="3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Gestão de tráfego pago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35-gestao-de-trafego-pago.md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99999" w:sz="12" w:space="8"/>
        </w:pBdr>
        <w:shd w:fill="F2F2F2" w:color="auto" w:val="clear"/>
        <w:spacing w:after="80" w:line="276"/>
        <w:ind w:left="340" w:right="200"/>
        <w:jc w:val="both"/>
      </w:pPr>
      <w:r>
        <w:rPr>
          <w:rFonts w:ascii="Times New Roman" w:cs="Times New Roman" w:eastAsia="Times New Roman" w:hAnsi="Times New Roman"/>
          <w:b/>
          <w:bCs/>
          <w:color w:val="333333"/>
          <w:sz w:val="20"/>
          <w:szCs w:val="20"/>
        </w:rPr>
        <w:t xml:space="preserve">Nota sobre a numeração</w:t>
      </w:r>
      <w:r>
        <w:rPr>
          <w:rFonts w:ascii="Times New Roman" w:cs="Times New Roman" w:eastAsia="Times New Roman" w:hAnsi="Times New Roman"/>
          <w:color w:val="333333"/>
          <w:sz w:val="20"/>
          <w:szCs w:val="20"/>
        </w:rPr>
        <w:t xml:space="preserve">: a lista de origem salta do item 27 para o 29. A numeração foi preservada para permitir conferência item a item; o número 28 permanece vago.</w:t>
      </w:r>
    </w:p>
    <w:p>
      <w:pPr>
        <w:spacing w:after="120"/>
      </w:pPr>
      <w:r>
        <w:rPr>
          <w:sz w:val="8"/>
          <w:szCs w:val="8"/>
        </w:rPr>
        <w:t xml:space="preserve"/>
      </w:r>
    </w:p>
    <w:p>
      <w:pPr>
        <w:pStyle w:val="Heading1"/>
        <w:keepNext/>
        <w:spacing w:after="140" w:before="300"/>
        <w:jc w:val="left"/>
      </w:pPr>
      <w:r>
        <w:rPr>
          <w:rFonts w:ascii="Times New Roman" w:cs="Times New Roman" w:eastAsia="Times New Roman" w:hAnsi="Times New Roman"/>
          <w:b/>
          <w:bCs/>
          <w:color w:val="1A1A1A"/>
          <w:sz w:val="24"/>
          <w:szCs w:val="24"/>
        </w:rPr>
        <w:t xml:space="preserve">Revisão periódica</w:t>
      </w:r>
    </w:p>
    <w:p>
      <w:pPr>
        <w:spacing w:after="140" w:line="276"/>
        <w:ind w:left="0" w:right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Legislação e jurisprudência mudam. Os pontos abaixo devem ser reconferidos antes de cada uso relevante: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Taxa legal de juros e correção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art. 406 do CC (Lei 14.905/2024) e regulamentação do CMN/BCB.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Índices de reajuste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(IPCA, IGP-M, INCC) e periodicidade mínima anual (Lei 10.192/2001).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Marco Legal das Garantias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(Lei 14.711/2023) — alienação fiduciária e execução extrajudicial.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Teto do Simples Nacional e alíquotas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LC 123/2006.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Reforma tributária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(EC 132/2023, LC 214/2025) — transição do ISS/PIS/COFINS para CBS/IBS a partir de 2026; revisar cláusulas de tributos, reequilíbrio e repasse em contratos de execução continuada.</w:t>
      </w:r>
    </w:p>
    <w:sectPr>
      <w:footerReference w:type="default" r:id="rId7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6"/>
      </w:pBdr>
      <w:spacing w:after="0" w:before="120"/>
      <w:jc w:val="center"/>
    </w:pPr>
    <w:r>
      <w:rPr>
        <w:rFonts w:ascii="Times New Roman" w:cs="Times New Roman" w:eastAsia="Times New Roman" w:hAnsi="Times New Roman"/>
        <w:color w:val="444444"/>
        <w:sz w:val="16"/>
        <w:szCs w:val="16"/>
      </w:rPr>
      <w:t xml:space="preserve">Minuta — conferir e adaptar antes do uso   |   </w:t>
    </w:r>
    <w:r>
      <w:rPr>
        <w:rFonts w:ascii="Times New Roman" w:cs="Times New Roman" w:eastAsia="Times New Roman" w:hAnsi="Times New Roman"/>
        <w:color w:val="444444"/>
        <w:sz w:val="16"/>
        <w:szCs w:val="16"/>
      </w:rPr>
      <w:t xml:space="preserve">Pág.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00"/>
      </w:pPr>
      <w:rPr>
        <w:rFonts w:ascii="Times New Roman" w:cs="Times New Roman" w:eastAsia="Times New Roman" w:hAnsi="Times New Roman"/>
      </w:rPr>
    </w:lvl>
    <w:lvl w:ilvl="1" w15:tentative="1">
      <w:start w:val="1"/>
      <w:numFmt w:val="bullet"/>
      <w:lvlText w:val="–"/>
      <w:lvlJc w:val="left"/>
      <w:pPr>
        <w:ind w:left="1080" w:hanging="300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060" w:hanging="300"/>
      </w:pPr>
      <w:rPr>
        <w:rFonts w:ascii="Times New Roman" w:cs="Times New Roman" w:eastAsia="Times New Roman" w:hAnsi="Times New Roman"/>
        <w:sz w:val="20"/>
        <w:szCs w:val="20"/>
      </w:rPr>
    </w:lvl>
    <w:lvl w:ilvl="1" w15:tentative="1">
      <w:start w:val="1"/>
      <w:numFmt w:val="bullet"/>
      <w:lvlText w:val="–"/>
      <w:lvlJc w:val="left"/>
      <w:pPr>
        <w:ind w:left="1400" w:hanging="300"/>
      </w:pPr>
      <w:rPr>
        <w:rFonts w:ascii="Times New Roman" w:cs="Times New Roman" w:eastAsia="Times New Roman" w:hAnsi="Times New Roman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4"/>
        <w:szCs w:val="24"/>
      </w:rPr>
    </w:rPrDefault>
    <w:pPrDefault>
      <w:pPr>
        <w:spacing w:after="140" w:line="276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00"/>
      <w:jc w:val="left"/>
    </w:pPr>
    <w:rPr>
      <w:rFonts w:ascii="Times New Roman" w:cs="Times New Roman" w:eastAsia="Times New Roman" w:hAnsi="Times New Roman"/>
      <w:b/>
      <w:bCs/>
      <w:color w:val="1A1A1A"/>
      <w:sz w:val="24"/>
      <w:szCs w:val="24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Acervo de Modelos Contratuais</dc:title>
  <dc:creator>Acervo de Modelos Contratuais</dc:creator>
  <dc:description>Minuta contratual — modelo para adaptação</dc:description>
  <cp:lastModifiedBy>Un-named</cp:lastModifiedBy>
  <cp:revision>1</cp:revision>
  <dcterms:created xsi:type="dcterms:W3CDTF">2026-08-31T15:51:51.777Z</dcterms:created>
  <dcterms:modified xsi:type="dcterms:W3CDTF">2026-08-31T15:51:51.777Z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