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SANO</w:t>
      </w:r>
    </w:p>
    <w:p>
      <w:pPr>
        <w:spacing w:after="120"/>
        <w:jc w:val="center"/>
      </w:pPr>
      <w:r>
        <w:rPr>
          <w:rFonts w:ascii="Arial" w:cs="Arial" w:eastAsia="Arial" w:hAnsi="Arial"/>
          <w:color w:val="B29F86"/>
          <w:sz w:val="24"/>
          <w:szCs w:val="24"/>
        </w:rPr>
        <w:t xml:space="preserve">Structured Approval Network &amp; Operations</w:t>
      </w:r>
    </w:p>
    <w:p>
      <w:pPr>
        <w:spacing w:before="600"/>
      </w:pPr>
    </w:p>
    <w:p>
      <w:pPr>
        <w:pBdr>
          <w:bottom w:val="single" w:color="B29F86" w:sz="6" w:space="1"/>
        </w:pBdr>
        <w:spacing w:after="2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Mandor &amp; Opname System Audit</w:t>
      </w:r>
    </w:p>
    <w:p>
      <w:pPr>
        <w:spacing w:after="400"/>
        <w:jc w:val="center"/>
      </w:pPr>
      <w:r>
        <w:rPr>
          <w:rFonts w:ascii="Arial" w:cs="Arial" w:eastAsia="Arial" w:hAnsi="Arial"/>
          <w:color w:val="524E49"/>
          <w:sz w:val="22"/>
          <w:szCs w:val="22"/>
        </w:rPr>
        <w:t xml:space="preserve">Data Structure, Workflow, Control Systems, and Expansion Design</w:t>
      </w:r>
    </w:p>
    <w:p>
      <w:pPr>
        <w:spacing w:after="120"/>
        <w:jc w:val="center"/>
      </w:pPr>
      <w:r>
        <w:rPr>
          <w:rFonts w:ascii="Arial" w:cs="Arial" w:eastAsia="Arial" w:hAnsi="Arial"/>
          <w:color w:val="524E49"/>
          <w:sz w:val="20"/>
          <w:szCs w:val="20"/>
        </w:rPr>
        <w:t xml:space="preserve">March 2026 | v1.0</w:t>
      </w:r>
    </w:p>
    <w:p>
      <w:pPr>
        <w:spacing w:after="120"/>
        <w:jc w:val="center"/>
      </w:pPr>
      <w:r>
        <w:rPr>
          <w:rFonts w:ascii="Arial" w:cs="Arial" w:eastAsia="Arial" w:hAnsi="Arial"/>
          <w:color w:val="524E49"/>
          <w:sz w:val="20"/>
          <w:szCs w:val="20"/>
        </w:rPr>
        <w:t xml:space="preserve">For: Wilson Harkhono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41210"/>
          <w:sz w:val="22"/>
          <w:szCs w:val="22"/>
        </w:rPr>
        <w:t xml:space="preserve">This audit evaluates the SANO mandor and opname subsystem across four dimensions: data structure integrity, workflow correctness, control system coverage, and UI/UX compliance with the SANO design guideline. It also proposes a concrete architecture for two new payment mechanisms: kasbon (cash advance) and attendance-based (HOK) payments.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Overall Assessment</w:t>
      </w: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92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Rating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Data Structure (SQL)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8B40"/>
                <w:sz w:val="20"/>
                <w:szCs w:val="20"/>
              </w:rPr>
              <w:t xml:space="preserve">SOLID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Normalized tables, server-side triggers, revision log, cascading recompute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Payment Waterfall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8B40"/>
                <w:sz w:val="20"/>
                <w:szCs w:val="20"/>
              </w:rPr>
              <w:t xml:space="preserve">SOLID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All math in Postgres RPCs, no client-side computation in production path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Workflow / State Machine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8B40"/>
                <w:sz w:val="20"/>
                <w:szCs w:val="20"/>
              </w:rPr>
              <w:t xml:space="preserve">SOLID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5-state lifecycle with role-gated RPCs via assert_project_role()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Trade Auto-Detection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8B40"/>
                <w:sz w:val="20"/>
                <w:szCs w:val="20"/>
              </w:rPr>
              <w:t xml:space="preserve">GOOD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3-tier confidence + context override system, bulk tagging via RPC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UI / Theme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GOOD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Consistent use of SANO tokens; minor gaps in accessibility labels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Kasbon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GAP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Single field on opname_headers; no standalone kasbon requests or ledger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Attendance / HOK Pay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MISSING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Deprecated Attendance type exists but has no active DB table or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Progress Reconciliation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8B40"/>
                <w:sz w:val="20"/>
                <w:szCs w:val="20"/>
              </w:rPr>
              <w:t xml:space="preserve">GOOD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v_opname_progress_reconciliation cross-checks Gate 4 vs opname claims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Data Structure Audit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Table Architecture</w:t>
      </w:r>
    </w:p>
    <w:p>
      <w:pPr>
        <w:spacing w:after="120"/>
      </w:pPr>
      <w:r>
        <w:rPr>
          <w:rFonts w:ascii="Arial" w:cs="Arial" w:eastAsia="Arial" w:hAnsi="Arial"/>
          <w:color w:val="141210"/>
          <w:sz w:val="22"/>
          <w:szCs w:val="22"/>
        </w:rPr>
        <w:t xml:space="preserve">The mandor/opname system is implemented across migrations 008 and 011 with the following table hierarchy:</w:t>
      </w:r>
    </w:p>
    <w:p>
      <w:pPr>
        <w:spacing w:after="60"/>
      </w:pP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2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Table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ahs_lines (extended)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trade_category + trade_confirmed columns for labor classification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mandor_contracts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1 per mandor per project; stores trades[], retention_pct, is_active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mandor_contract_rates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Negotiated borongan rate per BoQ item vs frozen AHS labor rate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opname_headers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Weekly payment claim; full waterfall fields; 5-state lifecycle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opname_lines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Per BoQ-item progress; cumulative/verified/prev %; TDK ACC flag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opname_line_revisions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Immutable audit log of every estimator adjustment (011)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Strengths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Frozen rate snapshots: contracted_rate and boq_labor_rate are captured at opname creation, protecting against retroactive rate changes.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Generated column: this_week_pct is a STORED generated column ensuring consistency between cumulative and previous percentages.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Server-side triggers (011): trg_opname_lines_set_amounts recomputes amounts on every INSERT/UPDATE; trg_opname_lines_recompute_header cascades to header totals.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Revision log: opname_line_revisions captures every verified_pct adjustment and TDK ACC toggle with changed_by user ID.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Cascading recompute: When an approved opname changes, refresh_opname_headers_for_contract recalculates all future weeks automatically.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Variance tracking: v_labor_boq_rates aggregates AHS labor costs per trade per BoQ item, enabling contract-vs-BoQ variance display.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Issues Found</w:t>
      </w:r>
    </w:p>
    <w:p>
      <w:pPr>
        <w:spacing w:after="8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■  </w:t>
      </w:r>
      <w:r>
        <w:rPr>
          <w:rFonts w:ascii="Arial" w:cs="Arial" w:eastAsia="Arial" w:hAnsi="Arial"/>
          <w:sz w:val="22"/>
          <w:szCs w:val="22"/>
        </w:rPr>
        <w:t xml:space="preserve">Kasbon is a single NUMERIC field on opname_headers. </w:t>
      </w:r>
      <w:r>
        <w:rPr>
          <w:rFonts w:ascii="Arial" w:cs="Arial" w:eastAsia="Arial" w:hAnsi="Arial"/>
          <w:color w:val="C62828"/>
          <w:sz w:val="22"/>
          <w:szCs w:val="22"/>
        </w:rPr>
        <w:t xml:space="preserve">There is no history of when kasbon was taken, who authorized it, or whether it was repaid. </w:t>
      </w:r>
      <w:r>
        <w:rPr>
          <w:rFonts w:ascii="Arial" w:cs="Arial" w:eastAsia="Arial" w:hAnsi="Arial"/>
          <w:sz w:val="22"/>
          <w:szCs w:val="22"/>
        </w:rPr>
        <w:t xml:space="preserve">If a mandor takes Rp 5M kasbon on Monday but the opname is created on Saturday, there is no mechanism to record that mid-week event.</w:t>
      </w:r>
    </w:p>
    <w:p>
      <w:pPr>
        <w:spacing w:after="8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attendance/HOK table. </w:t>
      </w:r>
      <w:r>
        <w:rPr>
          <w:rFonts w:ascii="Arial" w:cs="Arial" w:eastAsia="Arial" w:hAnsi="Arial"/>
          <w:sz w:val="22"/>
          <w:szCs w:val="22"/>
        </w:rPr>
        <w:t xml:space="preserve">The types.ts file has a deprecated Attendance interface, and tmp/ has an old CREATE TABLE, but no active migration creates it. Mandors who are paid by daily headcount have no data entry path.</w:t>
      </w:r>
    </w:p>
    <w:p>
      <w:pPr>
        <w:spacing w:after="8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■  </w:t>
      </w:r>
      <w:r>
        <w:rPr>
          <w:rFonts w:ascii="Arial" w:cs="Arial" w:eastAsia="Arial" w:hAnsi="Arial"/>
          <w:sz w:val="22"/>
          <w:szCs w:val="22"/>
        </w:rPr>
        <w:t xml:space="preserve">opname_headers.kasbon allows negative values. </w:t>
      </w:r>
      <w:r>
        <w:rPr>
          <w:rFonts w:ascii="Arial" w:cs="Arial" w:eastAsia="Arial" w:hAnsi="Arial"/>
          <w:sz w:val="22"/>
          <w:szCs w:val="22"/>
        </w:rPr>
        <w:t xml:space="preserve">There is no CHECK constraint preventing negative kasbon, which could inflate net_this_week.</w:t>
      </w:r>
    </w:p>
    <w:p>
      <w:pPr>
        <w:spacing w:after="8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■  </w:t>
      </w:r>
      <w:r>
        <w:rPr>
          <w:rFonts w:ascii="Arial" w:cs="Arial" w:eastAsia="Arial" w:hAnsi="Arial"/>
          <w:sz w:val="22"/>
          <w:szCs w:val="22"/>
        </w:rPr>
        <w:t xml:space="preserve">opname_lines.cumulative_pct has no upper bound CHECK. </w:t>
      </w:r>
      <w:r>
        <w:rPr>
          <w:rFonts w:ascii="Arial" w:cs="Arial" w:eastAsia="Arial" w:hAnsi="Arial"/>
          <w:sz w:val="22"/>
          <w:szCs w:val="22"/>
        </w:rPr>
        <w:t xml:space="preserve">The SQL allows values &gt; 100. The client clamps to 100, but direct API calls could insert over-progress.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Workflow &amp; State Machine Audit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Opname Lifecycle</w:t>
      </w:r>
    </w:p>
    <w:p>
      <w:pPr>
        <w:spacing w:after="120"/>
      </w:pPr>
      <w:r>
        <w:rPr>
          <w:rFonts w:ascii="Arial" w:cs="Arial" w:eastAsia="Arial" w:hAnsi="Arial"/>
          <w:color w:val="141210"/>
          <w:sz w:val="22"/>
          <w:szCs w:val="22"/>
        </w:rPr>
        <w:t xml:space="preserve">The opname follows a strict 5-state machine enforced server-side:</w:t>
      </w:r>
    </w:p>
    <w:p>
      <w:pPr>
        <w:spacing w:after="60"/>
      </w:pP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6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Transition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To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Who / Controls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submit_opname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SUBMITTED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supervisor, estimator, admin, principal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verify_opname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SUBMITTED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VERIFIED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estimator, admin, principal + promotes verified_pct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approve_opname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VERIFIED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APPROVED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admin, principal + sets kasbon, cascades future headers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mark_opname_paid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PAID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admin, principal + triggered after Excel export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Role-Gated Controls</w:t>
      </w:r>
    </w:p>
    <w:p>
      <w:pPr>
        <w:spacing w:after="120"/>
      </w:pPr>
      <w:r>
        <w:rPr>
          <w:rFonts w:ascii="Arial" w:cs="Arial" w:eastAsia="Arial" w:hAnsi="Arial"/>
          <w:color w:val="141210"/>
          <w:sz w:val="22"/>
          <w:szCs w:val="22"/>
        </w:rPr>
        <w:t xml:space="preserve">Every RPC calls assert_project_role() which verifies the calling user is assigned to the project AND holds the required role. This is a SECURITY DEFINER function, meaning it runs with elevated privileges but validates auth.uid() internally.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DRAFT stage: Only cumulative_pct can be edited. Attempts to set verified_pct or TDK ACC raise exceptions.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SUBMITTED stage: Only verified_pct, is_tdk_acc, and notes can be edited. cumulative_pct is locked.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VERIFIED/APPROVED/PAID: No line edits permitted at all.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verify_opname automatically calls promote_verified_pct to lock in the estimator's adjustments.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Workflow Strengths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Separation of concerns: Supervisor proposes, estimator verifies, admin approves. No single role can complete the full cycle alone.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Automatic prior_paid computation: get_prior_paid() sums all previous APPROVED/PAID opnames' net_to_date.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TDK ACC exclusion: Items marked TDK ACC are excluded from gross_total via FILTER (WHERE NOT is_tdk_acc).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Progress reconciliation: v_opname_progress_reconciliation cross-references opname claims against Gate 4 field progress with 5%/15% thresholds.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Workflow Gaps</w:t>
      </w:r>
    </w:p>
    <w:p>
      <w:pPr>
        <w:spacing w:after="8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REJECTED state. </w:t>
      </w:r>
      <w:r>
        <w:rPr>
          <w:rFonts w:ascii="Arial" w:cs="Arial" w:eastAsia="Arial" w:hAnsi="Arial"/>
          <w:sz w:val="22"/>
          <w:szCs w:val="22"/>
        </w:rPr>
        <w:t xml:space="preserve">If an estimator wants to reject a submission entirely, there is no SUBMITTED -&gt; DRAFT rollback. The estimator can only adjust individual lines. A full rejection workflow should allow sending back to DRAFT with a reason.</w:t>
      </w:r>
    </w:p>
    <w:p>
      <w:pPr>
        <w:spacing w:after="8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PAID is auto-triggered after Excel export. </w:t>
      </w:r>
      <w:r>
        <w:rPr>
          <w:rFonts w:ascii="Arial" w:cs="Arial" w:eastAsia="Arial" w:hAnsi="Arial"/>
          <w:sz w:val="22"/>
          <w:szCs w:val="22"/>
        </w:rPr>
        <w:t xml:space="preserve">If the export succeeds but actual bank transfer fails, the opname is already marked PAID with no rollback path. Consider separating export from payment confirmation.</w:t>
      </w:r>
    </w:p>
    <w:p>
      <w:pPr>
        <w:spacing w:after="8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duplicate week guard on client. </w:t>
      </w:r>
      <w:r>
        <w:rPr>
          <w:rFonts w:ascii="Arial" w:cs="Arial" w:eastAsia="Arial" w:hAnsi="Arial"/>
          <w:sz w:val="22"/>
          <w:szCs w:val="22"/>
        </w:rPr>
        <w:t xml:space="preserve">The SQL has UNIQUE(contract_id, week_number) but the UI doesn't check before attempting creation. User sees a cryptic Supabase error rather than a friendly message.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Control &amp; Input System Audit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Input Validation</w:t>
      </w: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Validated?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cumulative_pct (client)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8B40"/>
                <w:sz w:val="20"/>
                <w:szCs w:val="20"/>
              </w:rPr>
              <w:t xml:space="preserve">YES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Clamped to [prev_cumulative_pct, 100] in handleLineChange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cumulative_pct (server)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PARTIAL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opname_effective_pct clamps 0-100, but raw INSERT allows &gt;100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contracted_rate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8B40"/>
                <w:sz w:val="20"/>
                <w:szCs w:val="20"/>
              </w:rPr>
              <w:t xml:space="preserve">YES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parseFloat + NaN/&lt;=0 check in handleSaveRate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week_number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8B40"/>
                <w:sz w:val="20"/>
                <w:szCs w:val="20"/>
              </w:rPr>
              <w:t xml:space="preserve">YES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parseInt + &lt;1 check; DB UNIQUE prevents duplicates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kasbon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PARTIAL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parseFloat with fallback to 0; no max check against net_to_date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retention_pct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PARTIAL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parseFloat || 10 default; no range check (could be &gt;100 or negative)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mandor_name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8B40"/>
                <w:sz w:val="20"/>
                <w:szCs w:val="20"/>
              </w:rPr>
              <w:t xml:space="preserve">YES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trim() + empty check; DB UNIQUE(project_id, mandor_name)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TDK ACC 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PARTIAL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Hardcoded default reason; should prompt user for real reason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Audit Trail Coverage</w:t>
      </w:r>
    </w:p>
    <w:p>
      <w:pPr>
        <w:spacing w:after="80"/>
      </w:pPr>
      <w:r>
        <w:rPr>
          <w:rFonts w:ascii="Arial" w:cs="Arial" w:eastAsia="Arial" w:hAnsi="Arial"/>
          <w:color w:val="3D8B40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opname_line_revisions captures every verified_pct adjustment and TDK ACC toggle with user ID and timestamp.</w:t>
      </w:r>
    </w:p>
    <w:p>
      <w:pPr>
        <w:spacing w:after="80"/>
      </w:pPr>
      <w:r>
        <w:rPr>
          <w:rFonts w:ascii="Arial" w:cs="Arial" w:eastAsia="Arial" w:hAnsi="Arial"/>
          <w:color w:val="3D8B40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opname_headers records submitted_by, verified_by, approved_by with timestamps at each transition.</w:t>
      </w:r>
    </w:p>
    <w:p>
      <w:pPr>
        <w:spacing w:after="8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audit trail for kasbon changes. </w:t>
      </w:r>
      <w:r>
        <w:rPr>
          <w:rFonts w:ascii="Arial" w:cs="Arial" w:eastAsia="Arial" w:hAnsi="Arial"/>
          <w:sz w:val="22"/>
          <w:szCs w:val="22"/>
        </w:rPr>
        <w:t xml:space="preserve">If admin changes the kasbon amount on an approved opname, the old value is overwritten with no record.</w:t>
      </w:r>
    </w:p>
    <w:p>
      <w:pPr>
        <w:spacing w:after="8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■  </w:t>
      </w:r>
      <w:r>
        <w:rPr>
          <w:rFonts w:ascii="Arial" w:cs="Arial" w:eastAsia="Arial" w:hAnsi="Arial"/>
          <w:sz w:val="22"/>
          <w:szCs w:val="22"/>
        </w:rPr>
        <w:t xml:space="preserve">No audit trail for contract rate changes. </w:t>
      </w:r>
      <w:r>
        <w:rPr>
          <w:rFonts w:ascii="Arial" w:cs="Arial" w:eastAsia="Arial" w:hAnsi="Arial"/>
          <w:sz w:val="22"/>
          <w:szCs w:val="22"/>
        </w:rPr>
        <w:t xml:space="preserve">Upsert overwrites the previous contracted_rate with no history.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Security (RLS)</w:t>
      </w:r>
    </w:p>
    <w:p>
      <w:pPr>
        <w:spacing w:after="80"/>
      </w:pPr>
      <w:r>
        <w:rPr>
          <w:rFonts w:ascii="Arial" w:cs="Arial" w:eastAsia="Arial" w:hAnsi="Arial"/>
          <w:color w:val="3D8B40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All four core tables have RLS enabled with project-scoped policies.</w:t>
      </w:r>
    </w:p>
    <w:p>
      <w:pPr>
        <w:spacing w:after="80"/>
      </w:pPr>
      <w:r>
        <w:rPr>
          <w:rFonts w:ascii="Arial" w:cs="Arial" w:eastAsia="Arial" w:hAnsi="Arial"/>
          <w:color w:val="3D8B40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Migration 011 tightened INSERT policies: opname_headers_insert requires role + project assignment; opname_lines_insert verifies via header join.</w:t>
      </w:r>
    </w:p>
    <w:p>
      <w:pPr>
        <w:spacing w:after="80"/>
      </w:pPr>
      <w:r>
        <w:rPr>
          <w:rFonts w:ascii="Arial" w:cs="Arial" w:eastAsia="Arial" w:hAnsi="Arial"/>
          <w:color w:val="3D8B40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All workflow RPCs use SECURITY DEFINER + assert_project_role(), preventing direct table manipulation from bypassing role checks.</w:t>
      </w:r>
    </w:p>
    <w:p>
      <w:pPr>
        <w:spacing w:after="80"/>
      </w:pPr>
      <w:r>
        <w:rPr>
          <w:rFonts w:ascii="Arial" w:cs="Arial" w:eastAsia="Arial" w:hAnsi="Arial"/>
          <w:color w:val="1565C0"/>
          <w:sz w:val="20"/>
          <w:szCs w:val="20"/>
        </w:rPr>
        <w:t xml:space="preserve">■  </w:t>
      </w:r>
      <w:r>
        <w:rPr>
          <w:rFonts w:ascii="Arial" w:cs="Arial" w:eastAsia="Arial" w:hAnsi="Arial"/>
          <w:sz w:val="22"/>
          <w:szCs w:val="22"/>
        </w:rPr>
        <w:t xml:space="preserve">opname_headers and opname_lines have no UPDATE/DELETE RLS policies after migration 011. </w:t>
      </w:r>
      <w:r>
        <w:rPr>
          <w:rFonts w:ascii="Arial" w:cs="Arial" w:eastAsia="Arial" w:hAnsi="Arial"/>
          <w:sz w:val="22"/>
          <w:szCs w:val="22"/>
        </w:rPr>
        <w:t xml:space="preserve">Updates go through RPCs (SECURITY DEFINER), so this is acceptable, but direct Supabase client .update() calls would fail. This is by design but should be documented.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Interface &amp; Theme Compliance Audit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Design Token Usage</w:t>
      </w:r>
    </w:p>
    <w:p>
      <w:pPr>
        <w:spacing w:after="120"/>
      </w:pPr>
      <w:r>
        <w:rPr>
          <w:rFonts w:ascii="Arial" w:cs="Arial" w:eastAsia="Arial" w:hAnsi="Arial"/>
          <w:color w:val="141210"/>
          <w:sz w:val="22"/>
          <w:szCs w:val="22"/>
        </w:rPr>
        <w:t xml:space="preserve">Both MandorSetupScreen and OpnameScreen correctly import and use all SANO design tokens:</w:t>
      </w:r>
    </w:p>
    <w:p>
      <w:pPr>
        <w:spacing w:after="80"/>
      </w:pPr>
      <w:r>
        <w:rPr>
          <w:rFonts w:ascii="Arial" w:cs="Arial" w:eastAsia="Arial" w:hAnsi="Arial"/>
          <w:color w:val="3D8B40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COLORS, FONTS, TYPE, SPACE, RADIUS, RADIUS_SM are all imported from workflows/theme.ts.</w:t>
      </w:r>
    </w:p>
    <w:p>
      <w:pPr>
        <w:spacing w:after="80"/>
      </w:pPr>
      <w:r>
        <w:rPr>
          <w:rFonts w:ascii="Arial" w:cs="Arial" w:eastAsia="Arial" w:hAnsi="Arial"/>
          <w:color w:val="3D8B40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No hardcoded color values except TRADE_COLORS (which are screen-specific semantic colors, acceptable).</w:t>
      </w:r>
    </w:p>
    <w:p>
      <w:pPr>
        <w:spacing w:after="80"/>
      </w:pPr>
      <w:r>
        <w:rPr>
          <w:rFonts w:ascii="Arial" w:cs="Arial" w:eastAsia="Arial" w:hAnsi="Arial"/>
          <w:color w:val="3D8B40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Font families use FONTS.regular/medium/semibold/bold consistently.</w:t>
      </w:r>
    </w:p>
    <w:p>
      <w:pPr>
        <w:spacing w:after="80"/>
      </w:pPr>
      <w:r>
        <w:rPr>
          <w:rFonts w:ascii="Arial" w:cs="Arial" w:eastAsia="Arial" w:hAnsi="Arial"/>
          <w:color w:val="3D8B40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Typography sizes follow the TYPE scale (xs=11, sm=13, base=15, md=16).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UI Efficiency Assessment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MandorSetupScreen uses a 3-view pattern (trade_review / contracts / rates) with internal tab navigation. This keeps the mandor setup workflow self-contained.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OpnameScreen uses list / lines views with contract selector chips. The progress input uses onEndEditing (not onChange), preventing excessive RPC calls during typing.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Payment waterfall is rendered inline with the line items, giving immediate visual feedback when progress % changes.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UI Gaps</w:t>
      </w:r>
    </w:p>
    <w:p>
      <w:pPr>
        <w:spacing w:after="8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TDK ACC reason is hardcoded. </w:t>
      </w:r>
      <w:r>
        <w:rPr>
          <w:rFonts w:ascii="Arial" w:cs="Arial" w:eastAsia="Arial" w:hAnsi="Arial"/>
          <w:sz w:val="22"/>
          <w:szCs w:val="22"/>
        </w:rPr>
        <w:t xml:space="preserve">Line 201: reason is always 'Pekerjaan belum memenuhi standar'. The comment says 'Could show an input prompt'. This should be a TextInput.</w:t>
      </w:r>
    </w:p>
    <w:p>
      <w:pPr>
        <w:spacing w:after="8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confirmation before Submit. </w:t>
      </w:r>
      <w:r>
        <w:rPr>
          <w:rFonts w:ascii="Arial" w:cs="Arial" w:eastAsia="Arial" w:hAnsi="Arial"/>
          <w:sz w:val="22"/>
          <w:szCs w:val="22"/>
        </w:rPr>
        <w:t xml:space="preserve">handleSubmit directly calls the RPC. Unlike handleApprove (which uses Alert.alert), submit has no confirmation dialog.</w:t>
      </w:r>
    </w:p>
    <w:p>
      <w:pPr>
        <w:spacing w:after="8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■  </w:t>
      </w:r>
      <w:r>
        <w:rPr>
          <w:rFonts w:ascii="Arial" w:cs="Arial" w:eastAsia="Arial" w:hAnsi="Arial"/>
          <w:sz w:val="22"/>
          <w:szCs w:val="22"/>
        </w:rPr>
        <w:t xml:space="preserve">Missing accessibility labels on progress inputs. </w:t>
      </w:r>
      <w:r>
        <w:rPr>
          <w:rFonts w:ascii="Arial" w:cs="Arial" w:eastAsia="Arial" w:hAnsi="Arial"/>
          <w:sz w:val="22"/>
          <w:szCs w:val="22"/>
        </w:rPr>
        <w:t xml:space="preserve">TextInput fields for cumulative_pct and verified_pct have no accessibilityLabel.</w:t>
      </w:r>
    </w:p>
    <w:p>
      <w:pPr>
        <w:spacing w:after="80"/>
      </w:pPr>
      <w:r>
        <w:rPr>
          <w:rFonts w:ascii="Arial" w:cs="Arial" w:eastAsia="Arial" w:hAnsi="Arial"/>
          <w:color w:val="1565C0"/>
          <w:sz w:val="20"/>
          <w:szCs w:val="20"/>
        </w:rPr>
        <w:t xml:space="preserve">■  </w:t>
      </w:r>
      <w:r>
        <w:rPr>
          <w:rFonts w:ascii="Arial" w:cs="Arial" w:eastAsia="Arial" w:hAnsi="Arial"/>
          <w:sz w:val="22"/>
          <w:szCs w:val="22"/>
        </w:rPr>
        <w:t xml:space="preserve">Contract rate import alert uses Alert.alert with long text. </w:t>
      </w:r>
      <w:r>
        <w:rPr>
          <w:rFonts w:ascii="Arial" w:cs="Arial" w:eastAsia="Arial" w:hAnsi="Arial"/>
          <w:sz w:val="22"/>
          <w:szCs w:val="22"/>
        </w:rPr>
        <w:t xml:space="preserve">On small screens, the multi-line import plan summary may be truncated. Consider a modal with scroll.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Kasbon &amp; Attendance Payment Design</w:t>
      </w:r>
    </w:p>
    <w:p>
      <w:pPr>
        <w:spacing w:after="120"/>
      </w:pPr>
      <w:r>
        <w:rPr>
          <w:rFonts w:ascii="Arial" w:cs="Arial" w:eastAsia="Arial" w:hAnsi="Arial"/>
          <w:color w:val="141210"/>
          <w:sz w:val="22"/>
          <w:szCs w:val="22"/>
        </w:rPr>
        <w:t xml:space="preserve">This section addresses your question: when the mandor takes money not by progress but through kasbon (cash advance) or attendance (headcount x days), what controls and structures should be in place?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The Problem</w:t>
      </w:r>
    </w:p>
    <w:p>
      <w:pPr>
        <w:spacing w:after="120"/>
      </w:pPr>
      <w:r>
        <w:rPr>
          <w:rFonts w:ascii="Arial" w:cs="Arial" w:eastAsia="Arial" w:hAnsi="Arial"/>
          <w:color w:val="141210"/>
          <w:sz w:val="22"/>
          <w:szCs w:val="22"/>
        </w:rPr>
        <w:t xml:space="preserve">Currently, SANO only supports one payment mode: progress-based borongan (lump sum per BoQ item %). But in Indonesian construction reality, mandors often receive money through two other channels: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Kasbon (Cash Advance): </w:t>
      </w:r>
      <w:r>
        <w:rPr>
          <w:rFonts w:ascii="Arial" w:cs="Arial" w:eastAsia="Arial" w:hAnsi="Arial"/>
          <w:sz w:val="22"/>
          <w:szCs w:val="22"/>
        </w:rPr>
        <w:t xml:space="preserve">Mandor needs cash before the weekly opname is ready (e.g., to pay workers on Wednesday when opname is Saturday). Current system only records kasbon as a deduction on the opname, with no request/approval workflow.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Attendance / Harian (Daily Rate): </w:t>
      </w:r>
      <w:r>
        <w:rPr>
          <w:rFonts w:ascii="Arial" w:cs="Arial" w:eastAsia="Arial" w:hAnsi="Arial"/>
          <w:sz w:val="22"/>
          <w:szCs w:val="22"/>
        </w:rPr>
        <w:t xml:space="preserve">Some mandors (especially for preparatory or cleanup work) are paid by headcount: X orang x Y hari x Z rate/orang/hari. This has no data structure at all.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Proposed: Kasbon Ledger</w:t>
      </w:r>
    </w:p>
    <w:p>
      <w:pPr>
        <w:spacing w:after="120"/>
      </w:pPr>
      <w:r>
        <w:rPr>
          <w:rFonts w:ascii="Arial" w:cs="Arial" w:eastAsia="Arial" w:hAnsi="Arial"/>
          <w:color w:val="141210"/>
          <w:sz w:val="22"/>
          <w:szCs w:val="22"/>
        </w:rPr>
        <w:t xml:space="preserve">Replace the single kasbon field with a full ledger table that tracks every cash advance as a standalone event:</w:t>
      </w:r>
    </w:p>
    <w:p>
      <w:pPr>
        <w:spacing w:after="60"/>
      </w:pP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Column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id, project_id, contract_id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Standard FK references linking to the mandor contract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amount NUMERIC NOT NULL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Rupiah amount of the cash advance (always positive)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kasbon_date DATE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When the cash was actually given (not the opname date)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reason TEXT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Why the mandor needs the advance (e.g., 'bayar tukang hari Rabu')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status: REQUESTED / APPROVED / SETTLED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3-state lifecycle with role gates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requested_by, approved_by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Audit trail: who asked, who approved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settled_in_opname_id UUID NULL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Links to the opname_header that deducted this kasbon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41210"/>
          <w:sz w:val="22"/>
          <w:szCs w:val="22"/>
        </w:rPr>
        <w:t xml:space="preserve">The payment waterfall changes from: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OLD: net_this_week = net_to_date - prior_paid - kasbon (single field)</w:t>
      </w:r>
    </w:p>
    <w:p>
      <w:pPr>
        <w:spacing w:after="80"/>
      </w:pPr>
      <w:r>
        <w:rPr>
          <w:rFonts w:ascii="Arial" w:cs="Arial" w:eastAsia="Arial" w:hAnsi="Arial"/>
          <w:color w:val="3D8B40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color w:val="3D8B40"/>
          <w:sz w:val="22"/>
          <w:szCs w:val="22"/>
        </w:rPr>
        <w:t xml:space="preserve">NEW: net_this_week = net_to_date - prior_paid - SUM(approved unsettled kasbon)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41210"/>
          <w:sz w:val="22"/>
          <w:szCs w:val="22"/>
        </w:rPr>
        <w:t xml:space="preserve">When admin approves an opname, all APPROVED but unsettled kasbon entries for that contract are automatically settled (settled_in_opname_id = this opname). This creates a clean paper trail.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Proposed: Attendance (HOK) Payment Table</w:t>
      </w:r>
    </w:p>
    <w:p>
      <w:pPr>
        <w:spacing w:after="120"/>
      </w:pPr>
      <w:r>
        <w:rPr>
          <w:rFonts w:ascii="Arial" w:cs="Arial" w:eastAsia="Arial" w:hAnsi="Arial"/>
          <w:color w:val="141210"/>
          <w:sz w:val="22"/>
          <w:szCs w:val="22"/>
        </w:rPr>
        <w:t xml:space="preserve">For mandors paid by daily headcount rather than progress, add an attendance-based payment path:</w:t>
      </w:r>
    </w:p>
    <w:p>
      <w:pPr>
        <w:spacing w:after="60"/>
      </w:pP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Column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id, project_id, contract_id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Standard FK references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attendance_date DATE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The specific work day being recorded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worker_count INT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Number of workers present that 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daily_rate NUMERIC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Agreed Rp per worker per 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line_total NUMERIC GENERATED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worker_count x daily_rate (computed column)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work_description TEXT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What work was performed (for audit)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recorded_by UUID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Supervisor who logged the attendance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verified_by UUID NULL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Estimator who confirmed the headcount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status: DRAFT / VERIFIED / SETTLED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3-state: record -&gt; verify -&gt; deduct from opname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settled_in_opname_id UUID NULL</w:t>
            </w:r>
          </w:p>
        </w:tc>
        <w:tc>
          <w:tcPr>
            <w:tcW w:type="dxa" w:w="6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Links to the opname that paid for this attendance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41210"/>
          <w:sz w:val="22"/>
          <w:szCs w:val="22"/>
        </w:rPr>
        <w:t xml:space="preserve">The payment waterfall expands to: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41210"/>
          <w:sz w:val="22"/>
          <w:szCs w:val="22"/>
        </w:rPr>
        <w:t xml:space="preserve">gross_total = SUM(progress-based lines) + SUM(verified attendance lines)</w:t>
      </w:r>
    </w:p>
    <w:p>
      <w:pPr>
        <w:spacing w:after="120"/>
      </w:pPr>
      <w:r>
        <w:rPr>
          <w:rFonts w:ascii="Arial" w:cs="Arial" w:eastAsia="Arial" w:hAnsi="Arial"/>
          <w:color w:val="141210"/>
          <w:sz w:val="22"/>
          <w:szCs w:val="22"/>
        </w:rPr>
        <w:t xml:space="preserve">Or alternatively, attendance payments can be treated as a separate payment stream with its own weekly summary, keeping the progress-based opname clean.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Recommended Payment Mode Architecture</w:t>
      </w:r>
    </w:p>
    <w:p>
      <w:pPr>
        <w:spacing w:after="120"/>
      </w:pPr>
      <w:r>
        <w:rPr>
          <w:rFonts w:ascii="Arial" w:cs="Arial" w:eastAsia="Arial" w:hAnsi="Arial"/>
          <w:color w:val="141210"/>
          <w:sz w:val="22"/>
          <w:szCs w:val="22"/>
        </w:rPr>
        <w:t xml:space="preserve">Add a payment_mode field to mandor_contracts to declare how each mandor is paid:</w:t>
      </w:r>
    </w:p>
    <w:p>
      <w:pPr>
        <w:spacing w:after="60"/>
      </w:pP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Payment Basis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borongan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Progress %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opname_lines (cumulative_pct x volume x rate)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harian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Attendance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mandor_attendance (worker_count x daily_rate)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campuran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Both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Progress lines + attendance lines combined in waterfall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41210"/>
          <w:sz w:val="22"/>
          <w:szCs w:val="22"/>
        </w:rPr>
        <w:t xml:space="preserve">This lets the system handle mixed scenarios (e.g., a concrete mandor who is borongan for structural work but harian for cleanup crews).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6.5 Control Measures for Kasbon</w:t>
      </w:r>
    </w:p>
    <w:p>
      <w:pPr>
        <w:spacing w:after="80"/>
      </w:pPr>
      <w:r>
        <w:rPr>
          <w:rFonts w:ascii="Arial" w:cs="Arial" w:eastAsia="Arial" w:hAnsi="Arial"/>
          <w:color w:val="3D8B40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Approval gate: </w:t>
      </w:r>
      <w:r>
        <w:rPr>
          <w:rFonts w:ascii="Arial" w:cs="Arial" w:eastAsia="Arial" w:hAnsi="Arial"/>
          <w:sz w:val="22"/>
          <w:szCs w:val="22"/>
        </w:rPr>
        <w:t xml:space="preserve">Kasbon REQUESTED by supervisor, APPROVED by admin only. This prevents unauthorized cash withdrawals.</w:t>
      </w:r>
    </w:p>
    <w:p>
      <w:pPr>
        <w:spacing w:after="80"/>
      </w:pPr>
      <w:r>
        <w:rPr>
          <w:rFonts w:ascii="Arial" w:cs="Arial" w:eastAsia="Arial" w:hAnsi="Arial"/>
          <w:color w:val="3D8B40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Ceiling check: </w:t>
      </w:r>
      <w:r>
        <w:rPr>
          <w:rFonts w:ascii="Arial" w:cs="Arial" w:eastAsia="Arial" w:hAnsi="Arial"/>
          <w:sz w:val="22"/>
          <w:szCs w:val="22"/>
        </w:rPr>
        <w:t xml:space="preserve">SUM(unsettled kasbon) should not exceed a configurable % of the estimated remaining contract value. Default: 30%. Alert if exceeding.</w:t>
      </w:r>
    </w:p>
    <w:p>
      <w:pPr>
        <w:spacing w:after="80"/>
      </w:pPr>
      <w:r>
        <w:rPr>
          <w:rFonts w:ascii="Arial" w:cs="Arial" w:eastAsia="Arial" w:hAnsi="Arial"/>
          <w:color w:val="3D8B40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Auto-settlement: </w:t>
      </w:r>
      <w:r>
        <w:rPr>
          <w:rFonts w:ascii="Arial" w:cs="Arial" w:eastAsia="Arial" w:hAnsi="Arial"/>
          <w:sz w:val="22"/>
          <w:szCs w:val="22"/>
        </w:rPr>
        <w:t xml:space="preserve">When opname is APPROVED, all unsettled kasbon for that contract are automatically deducted and linked. No manual matching required.</w:t>
      </w:r>
    </w:p>
    <w:p>
      <w:pPr>
        <w:spacing w:after="80"/>
      </w:pPr>
      <w:r>
        <w:rPr>
          <w:rFonts w:ascii="Arial" w:cs="Arial" w:eastAsia="Arial" w:hAnsi="Arial"/>
          <w:color w:val="3D8B40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Aging alert: </w:t>
      </w:r>
      <w:r>
        <w:rPr>
          <w:rFonts w:ascii="Arial" w:cs="Arial" w:eastAsia="Arial" w:hAnsi="Arial"/>
          <w:sz w:val="22"/>
          <w:szCs w:val="22"/>
        </w:rPr>
        <w:t xml:space="preserve">If a kasbon remains unsettled for &gt; 2 opname cycles, flag it on the PrincipalHomeScreen exception dashboard.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6.6 Control Measures for Attendance</w:t>
      </w:r>
    </w:p>
    <w:p>
      <w:pPr>
        <w:spacing w:after="80"/>
      </w:pPr>
      <w:r>
        <w:rPr>
          <w:rFonts w:ascii="Arial" w:cs="Arial" w:eastAsia="Arial" w:hAnsi="Arial"/>
          <w:color w:val="3D8B40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Daily recording window: </w:t>
      </w:r>
      <w:r>
        <w:rPr>
          <w:rFonts w:ascii="Arial" w:cs="Arial" w:eastAsia="Arial" w:hAnsi="Arial"/>
          <w:sz w:val="22"/>
          <w:szCs w:val="22"/>
        </w:rPr>
        <w:t xml:space="preserve">Attendance can only be recorded for today or yesterday (no backdating beyond T-1). Prevents fabricated records.</w:t>
      </w:r>
    </w:p>
    <w:p>
      <w:pPr>
        <w:spacing w:after="80"/>
      </w:pPr>
      <w:r>
        <w:rPr>
          <w:rFonts w:ascii="Arial" w:cs="Arial" w:eastAsia="Arial" w:hAnsi="Arial"/>
          <w:color w:val="3D8B40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Estimator verification: </w:t>
      </w:r>
      <w:r>
        <w:rPr>
          <w:rFonts w:ascii="Arial" w:cs="Arial" w:eastAsia="Arial" w:hAnsi="Arial"/>
          <w:sz w:val="22"/>
          <w:szCs w:val="22"/>
        </w:rPr>
        <w:t xml:space="preserve">Each attendance entry must be verified before it can be settled. Estimator confirms headcount matches site observations.</w:t>
      </w:r>
    </w:p>
    <w:p>
      <w:pPr>
        <w:spacing w:after="80"/>
      </w:pPr>
      <w:r>
        <w:rPr>
          <w:rFonts w:ascii="Arial" w:cs="Arial" w:eastAsia="Arial" w:hAnsi="Arial"/>
          <w:color w:val="3D8B40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Rate ceiling: </w:t>
      </w:r>
      <w:r>
        <w:rPr>
          <w:rFonts w:ascii="Arial" w:cs="Arial" w:eastAsia="Arial" w:hAnsi="Arial"/>
          <w:sz w:val="22"/>
          <w:szCs w:val="22"/>
        </w:rPr>
        <w:t xml:space="preserve">daily_rate is constrained to the rate set in mandor_contracts. Supervisor cannot override the agreed rate.</w:t>
      </w:r>
    </w:p>
    <w:p>
      <w:pPr>
        <w:spacing w:after="80"/>
      </w:pPr>
      <w:r>
        <w:rPr>
          <w:rFonts w:ascii="Arial" w:cs="Arial" w:eastAsia="Arial" w:hAnsi="Arial"/>
          <w:color w:val="3D8B40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Headcount anomaly flag: </w:t>
      </w:r>
      <w:r>
        <w:rPr>
          <w:rFonts w:ascii="Arial" w:cs="Arial" w:eastAsia="Arial" w:hAnsi="Arial"/>
          <w:sz w:val="22"/>
          <w:szCs w:val="22"/>
        </w:rPr>
        <w:t xml:space="preserve">If worker_count on any day exceeds 150% of the rolling 7-day average, flag as WARNING for estimator review.</w:t>
      </w:r>
    </w:p>
    <w:p>
      <w:pPr>
        <w:spacing w:after="80"/>
      </w:pPr>
      <w:r>
        <w:rPr>
          <w:rFonts w:ascii="Arial" w:cs="Arial" w:eastAsia="Arial" w:hAnsi="Arial"/>
          <w:color w:val="1565C0"/>
          <w:sz w:val="20"/>
          <w:szCs w:val="20"/>
        </w:rPr>
        <w:t xml:space="preserve">■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Photo evidence (optional): </w:t>
      </w:r>
      <w:r>
        <w:rPr>
          <w:rFonts w:ascii="Arial" w:cs="Arial" w:eastAsia="Arial" w:hAnsi="Arial"/>
          <w:sz w:val="22"/>
          <w:szCs w:val="22"/>
        </w:rPr>
        <w:t xml:space="preserve">Allow supervisor to attach a site photo when recording attendance, similar to Gate 3 receipt photos.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Recommended Actions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Priority 1 — Quick Fixes (no schema change)</w:t>
      </w: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600"/>
        <w:gridCol w:w="202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File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1210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Add CHECK (kasbon &gt;= 0) to opname_headers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migration 013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Add CHECK (cumulative_pct BETWEEN 0 AND 100) to opname_lines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migration 013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Replace hardcoded TDK ACC reason with TextInput prompt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OpnameScreen.tsx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Add Alert.alert confirmation before handleSubmit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OpnameScreen.tsx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Check for existing week_number before createOpnameHeader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OpnameScreen.tsx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Add accessibilityLabel to progress % TextInputs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OpnameScreen.tsx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Add retention_pct range CHECK (BETWEEN 0 AND 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migration 013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1210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Priority 2 — Kasbon Ledger (new migration)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Create mandor_kasbon table with REQUESTED / APPROVED / SETTLED lifecycle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Add RPC: request_kasbon, approve_kasbon (with ceiling check)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Modify approve_opname RPC to auto-settle unsettled kasbon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Add KasbonSection component to OpnameScreen (list + request button)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Add kasbon aging alerts to PrincipalHomeScreen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Estimated effort: 2-3 days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Priority 3 — Attendance / HOK Payment (new migration)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Create mandor_attendance table with DRAFT / VERIFIED / SETTLED lifecycle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Add payment_mode to mandor_contracts (borongan | harian | campuran)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Build AttendanceEntryScreen for supervisor daily recording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Extend opname waterfall to include verified attendance totals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Add headcount anomaly detection (rolling average comparison)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Estimated effort: 4-5 days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Priority 4 — Separation of Export and PAID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Decouple Excel export from mark_opname_paid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Add explicit 'Konfirmasi Pembayaran' button after export</w:t>
      </w:r>
    </w:p>
    <w:p>
      <w:pPr>
        <w:spacing w:after="80"/>
      </w:pPr>
      <w:r>
        <w:rPr>
          <w:rFonts w:ascii="Arial" w:cs="Arial" w:eastAsia="Arial" w:hAnsi="Arial"/>
          <w:color w:val="B29F86"/>
          <w:sz w:val="20"/>
          <w:szCs w:val="20"/>
        </w:rPr>
        <w:t xml:space="preserve">■  </w:t>
      </w:r>
      <w:r>
        <w:rPr>
          <w:rFonts w:ascii="Arial" w:cs="Arial" w:eastAsia="Arial" w:hAnsi="Arial"/>
          <w:color w:val="141210"/>
          <w:sz w:val="22"/>
          <w:szCs w:val="22"/>
        </w:rPr>
        <w:t xml:space="preserve">Optionally add payment_reference field (bank transfer number)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Estimated effort: 1 day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Conclusion</w:t>
      </w:r>
    </w:p>
    <w:p>
      <w:pPr>
        <w:spacing w:after="120"/>
      </w:pPr>
      <w:r>
        <w:rPr>
          <w:rFonts w:ascii="Arial" w:cs="Arial" w:eastAsia="Arial" w:hAnsi="Arial"/>
          <w:color w:val="141210"/>
          <w:sz w:val="22"/>
          <w:szCs w:val="22"/>
        </w:rPr>
        <w:t xml:space="preserve">The SANO mandor and opname system is architecturally strong. The decision to move all payment computation to Postgres RPCs (migration 011) was correct and eliminates an entire class of client-side rounding and race-condition bugs. The trade auto-detection system is well-designed with its confidence tiers and context overrides.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41210"/>
          <w:sz w:val="22"/>
          <w:szCs w:val="22"/>
        </w:rPr>
        <w:t xml:space="preserve">The primary gap is that the system assumes all mandors are paid by progress (borongan), which doesn't reflect the full reality of Indonesian construction site payments. Adding a kasbon ledger and attendance table — both following the same REQUESTED/APPROVED/SETTLED pattern as the existing opname lifecycle — would complete the payment picture without disrupting the existing architecture.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41210"/>
          <w:sz w:val="22"/>
          <w:szCs w:val="22"/>
        </w:rPr>
        <w:t xml:space="preserve">The quick fixes (Priority 1) should be applied immediately as they are low-risk, high-value guardrails. The kasbon and attendance features can be built incrementally, with kasbon being the higher priority since it directly affects existing opname accuracy.</w:t>
      </w:r>
    </w:p>
    <w:p>
      <w:pPr>
        <w:spacing w:after="60"/>
      </w:pPr>
    </w:p>
    <w:p>
      <w:pPr>
        <w:pBdr>
          <w:top w:val="single" w:color="B29F86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24E49"/>
          <w:sz w:val="20"/>
          <w:szCs w:val="20"/>
        </w:rPr>
        <w:t xml:space="preserve">End of Audit Report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24E49"/>
        <w:sz w:val="16"/>
        <w:szCs w:val="16"/>
      </w:rPr>
      <w:t xml:space="preserve">Page </w:t>
    </w:r>
    <w:r>
      <w:rPr>
        <w:rFonts w:ascii="Arial" w:cs="Arial" w:eastAsia="Arial" w:hAnsi="Arial"/>
        <w:color w:val="524E4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24E49"/>
        <w:sz w:val="16"/>
        <w:szCs w:val="16"/>
      </w:rPr>
      <w:t xml:space="preserve">SANO Mandor &amp; Opname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2026-03-30T16:59:01.988Z</dcterms:created>
  <dcterms:modified xsi:type="dcterms:W3CDTF">2026-03-30T16:59:01.989Z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