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Pinning the Wage to Scarcity and Technology</w:t>
      </w:r>
    </w:p>
    <w:p>
      <w:pPr>
        <w:pStyle w:val="Subtitle"/>
      </w:pPr>
      <w:r>
        <w:t xml:space="preserve">Replacement, exit, and the rents of non-produced inputs in a task economy</w:t>
      </w:r>
    </w:p>
    <w:p>
      <w:pPr>
        <w:pStyle w:val="Author"/>
      </w:pPr>
      <w:r>
        <w:t xml:space="preserve">Johan Båge</w:t>
      </w:r>
      <w:r>
        <w:br/>
      </w:r>
      <w:r>
        <w:t xml:space="preserve">Stockholm School of Economics</w:t>
      </w:r>
      <w:r>
        <w:br/>
      </w:r>
      <w:r>
        <w:t xml:space="preserve">Johan.Bage@hhs.se</w:t>
      </w:r>
    </w:p>
    <w:p>
      <w:pPr>
        <w:pStyle w:val="Author"/>
      </w:pPr>
      <w:r>
        <w:t xml:space="preserve">Stella Wilson</w:t>
      </w:r>
      <w:r>
        <w:br/>
      </w:r>
      <w:r>
        <w:t xml:space="preserve">KTH Royal Institute of Technology and Skandinaviska Enskilda Banken (SEB)</w:t>
      </w:r>
      <w:r>
        <w:br/>
      </w:r>
      <w:r>
        <w:t xml:space="preserve">thmwi@kth.se</w:t>
      </w:r>
    </w:p>
    <w:p>
      <w:pPr>
        <w:pStyle w:val="FirstParagraph"/>
      </w:pPr>
      <w:r>
        <w:t xml:space="preserve">Views are the authors’ own and do not represent those of KTH, SEB, or the Stockholm School of Economics. Written in collaboration with Claude (Anthropic); see the AI-use note at the end.</w:t>
      </w:r>
    </w:p>
    <w:sectPr>
      <w:footnotePr>
        <w:numRestart w:val="eachSect"/>
      </w:footnotePr>
      <w:pgSz w:h="16838" w:w="11906"/>
      <w:pgMar w:bottom="1418" w:footer="709" w:gutter="0" w:header="709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Times New Roman" w:val="en-US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Pinning the Wage to Scarcity and Technology</dc:title>
  <dc:creator>Johan Båge and Stella Wilson</dc:creator>
  <cp:keywords/>
  <dcterms:created xsi:type="dcterms:W3CDTF">2026-09-21T15:38:13Z</dcterms:created>
  <dcterms:modified xsi:type="dcterms:W3CDTF">2026-09-21T15:38:13Z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Replacement, exit, and the rents of non-produced inputs in a task economy</vt:lpwstr>
  </property>
</Properties>
</file>