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0EBD" w14:textId="77777777" w:rsidR="00666390" w:rsidRDefault="00666390" w:rsidP="006663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Assumptions</w:t>
      </w:r>
    </w:p>
    <w:p w14:paraId="5ECFA305" w14:textId="7CB8CB9F" w:rsidR="00666390" w:rsidRDefault="00666390" w:rsidP="00666390">
      <w:pPr>
        <w:pStyle w:val="ListParagraph"/>
        <w:numPr>
          <w:ilvl w:val="0"/>
          <w:numId w:val="3"/>
        </w:numPr>
      </w:pPr>
      <w:r w:rsidRPr="00666390">
        <w:rPr>
          <w:b/>
          <w:bCs/>
        </w:rPr>
        <w:t>Data Structural Assumptions:</w:t>
      </w:r>
      <w:r>
        <w:t xml:space="preserve"> </w:t>
      </w:r>
      <w:r w:rsidRPr="00666390">
        <w:t>The primary assumption is that a Relational Hierarchy exists between entities. Without this, the drill-down filters (Therapeutic Area -&gt; Program -&gt; Study) would fail</w:t>
      </w:r>
      <w:r>
        <w:t>.</w:t>
      </w:r>
    </w:p>
    <w:p w14:paraId="61D74A4A" w14:textId="77777777" w:rsidR="00666390" w:rsidRDefault="00666390" w:rsidP="00666390">
      <w:pPr>
        <w:pStyle w:val="ListParagraph"/>
        <w:numPr>
          <w:ilvl w:val="0"/>
          <w:numId w:val="4"/>
        </w:numPr>
      </w:pPr>
      <w:r w:rsidRPr="00666390">
        <w:rPr>
          <w:b/>
          <w:bCs/>
        </w:rPr>
        <w:t>One-to-Many Relationships:</w:t>
      </w:r>
      <w:r w:rsidRPr="00666390">
        <w:t xml:space="preserve"> A single Program (e.g., PRG-001) is assumed to consist of multiple Studies (Ph I, Ph II), which is why the Gantt chart and Sunburst can show nested "children."</w:t>
      </w:r>
    </w:p>
    <w:p w14:paraId="7E5ED65D" w14:textId="77777777" w:rsidR="00666390" w:rsidRDefault="00666390" w:rsidP="00666390">
      <w:pPr>
        <w:pStyle w:val="ListParagraph"/>
        <w:numPr>
          <w:ilvl w:val="0"/>
          <w:numId w:val="4"/>
        </w:numPr>
      </w:pPr>
      <w:r w:rsidRPr="00666390">
        <w:rPr>
          <w:b/>
          <w:bCs/>
        </w:rPr>
        <w:t>Normalized Status Codes:</w:t>
      </w:r>
      <w:r w:rsidRPr="00666390">
        <w:t xml:space="preserve"> We assume a standardized status library (e.g., T for On-Track, R for At-Risk, X for Critical). In a real-world scenario, if "Delayed" and "Critical" mean the same thing in different departments, the Heatmap and KPI cards would lose integrity.</w:t>
      </w:r>
    </w:p>
    <w:p w14:paraId="6BB6E1F6" w14:textId="06B239C4" w:rsidR="00666390" w:rsidRDefault="00666390" w:rsidP="00666390">
      <w:pPr>
        <w:pStyle w:val="ListParagraph"/>
        <w:numPr>
          <w:ilvl w:val="0"/>
          <w:numId w:val="4"/>
        </w:numPr>
      </w:pPr>
      <w:r w:rsidRPr="00666390">
        <w:rPr>
          <w:b/>
          <w:bCs/>
        </w:rPr>
        <w:t>Temporal Consistency:</w:t>
      </w:r>
      <w:r w:rsidRPr="00666390">
        <w:t xml:space="preserve"> All dates are assumed to be in ISO 8601 (YYYY-MM-DD) format. We also assume a "Snapshot" model, where the actual enrollment data is updated through the current date, while the forecast begins immediately after the last "actual" entry.</w:t>
      </w:r>
    </w:p>
    <w:p w14:paraId="1E26B9A5" w14:textId="77777777" w:rsidR="00666390" w:rsidRDefault="00666390" w:rsidP="00666390">
      <w:pPr>
        <w:pStyle w:val="ListParagraph"/>
        <w:ind w:left="1080"/>
      </w:pPr>
    </w:p>
    <w:p w14:paraId="175A5C19" w14:textId="6D46BAA4" w:rsidR="00666390" w:rsidRDefault="00666390" w:rsidP="00666390">
      <w:pPr>
        <w:pStyle w:val="ListParagraph"/>
        <w:numPr>
          <w:ilvl w:val="0"/>
          <w:numId w:val="3"/>
        </w:numPr>
      </w:pPr>
      <w:r w:rsidRPr="00666390">
        <w:rPr>
          <w:b/>
          <w:bCs/>
        </w:rPr>
        <w:t>Business Logic Assumptions:</w:t>
      </w:r>
      <w:r>
        <w:t xml:space="preserve"> </w:t>
      </w:r>
      <w:r>
        <w:tab/>
      </w:r>
      <w:r>
        <w:tab/>
      </w:r>
      <w:r>
        <w:tab/>
      </w:r>
    </w:p>
    <w:p w14:paraId="60742B2F" w14:textId="1937DA3F" w:rsidR="00666390" w:rsidRDefault="00666390" w:rsidP="00666390">
      <w:pPr>
        <w:pStyle w:val="ListParagraph"/>
        <w:numPr>
          <w:ilvl w:val="1"/>
          <w:numId w:val="3"/>
        </w:numPr>
      </w:pPr>
      <w:r w:rsidRPr="00666390">
        <w:rPr>
          <w:b/>
          <w:bCs/>
        </w:rPr>
        <w:t>The "At-Risk" Threshold:</w:t>
      </w:r>
      <w:r w:rsidRPr="00666390">
        <w:t xml:space="preserve"> For the KPI and Heatmap, "At-Risk" is assumed to be triggered by either a specific status code or a budget/timeline variance of $&gt;10\%$.</w:t>
      </w:r>
    </w:p>
    <w:p w14:paraId="6CB6E385" w14:textId="209D5E3F" w:rsidR="00666390" w:rsidRDefault="00666390" w:rsidP="00666390">
      <w:pPr>
        <w:pStyle w:val="ListParagraph"/>
        <w:numPr>
          <w:ilvl w:val="1"/>
          <w:numId w:val="3"/>
        </w:numPr>
      </w:pPr>
      <w:r w:rsidRPr="00666390">
        <w:rPr>
          <w:b/>
          <w:bCs/>
        </w:rPr>
        <w:t>Fiscal Calendar:</w:t>
      </w:r>
      <w:r w:rsidRPr="00666390">
        <w:t xml:space="preserve"> We assume a standard quarterly cycle (FY2026-Q1), though many pharma companies use non-standard financial offsets.</w:t>
      </w:r>
    </w:p>
    <w:p w14:paraId="27F9BD61" w14:textId="7EBB8B38" w:rsidR="00666390" w:rsidRDefault="00666390" w:rsidP="00666390">
      <w:pPr>
        <w:pStyle w:val="ListParagraph"/>
        <w:numPr>
          <w:ilvl w:val="1"/>
          <w:numId w:val="3"/>
        </w:numPr>
      </w:pPr>
      <w:r w:rsidRPr="00666390">
        <w:rPr>
          <w:b/>
          <w:bCs/>
        </w:rPr>
        <w:t>Anonymization:</w:t>
      </w:r>
      <w:r w:rsidRPr="00666390">
        <w:t xml:space="preserve"> For a high-level executive view, we assume specific patient PII (Personally Identifiable Information) is stripped, and data is aggregated to the Study or Site level to maintain HIPAA/GDPR compliance.</w:t>
      </w:r>
    </w:p>
    <w:p w14:paraId="4A002AA5" w14:textId="155CA0FA" w:rsidR="00666390" w:rsidRPr="00666390" w:rsidRDefault="00666390" w:rsidP="00666390">
      <w:pPr>
        <w:pStyle w:val="ListParagraph"/>
        <w:numPr>
          <w:ilvl w:val="0"/>
          <w:numId w:val="3"/>
        </w:numPr>
        <w:rPr>
          <w:b/>
          <w:bCs/>
        </w:rPr>
      </w:pPr>
      <w:r w:rsidRPr="00666390">
        <w:rPr>
          <w:b/>
          <w:bCs/>
        </w:rPr>
        <w:t>Visualization Assumptions</w:t>
      </w:r>
      <w:r w:rsidRPr="00666390">
        <w:rPr>
          <w:b/>
          <w:bCs/>
        </w:rPr>
        <w:t>:</w:t>
      </w:r>
    </w:p>
    <w:p w14:paraId="766CD705" w14:textId="49C42BAD" w:rsidR="00666390" w:rsidRDefault="00666390" w:rsidP="00666390">
      <w:pPr>
        <w:pStyle w:val="ListParagraph"/>
        <w:numPr>
          <w:ilvl w:val="1"/>
          <w:numId w:val="3"/>
        </w:numPr>
      </w:pPr>
      <w:r w:rsidRPr="00666390">
        <w:rPr>
          <w:b/>
          <w:bCs/>
        </w:rPr>
        <w:t>Color Semantics:</w:t>
      </w:r>
      <w:r w:rsidRPr="00666390">
        <w:t xml:space="preserve"> We follow the "Traffic Light" protocol—Green is good, Amber is warning, Red is critical. This is hardcoded into the Heatmap and Stacked Bar components for immediate cognitive recognition.</w:t>
      </w:r>
    </w:p>
    <w:p w14:paraId="0F7C8A8F" w14:textId="15F15787" w:rsidR="00666390" w:rsidRDefault="00666390" w:rsidP="00666390">
      <w:pPr>
        <w:pStyle w:val="ListParagraph"/>
        <w:numPr>
          <w:ilvl w:val="1"/>
          <w:numId w:val="3"/>
        </w:numPr>
      </w:pPr>
      <w:r w:rsidRPr="00666390">
        <w:rPr>
          <w:b/>
          <w:bCs/>
        </w:rPr>
        <w:t>Unit Scaling:</w:t>
      </w:r>
      <w:r w:rsidRPr="00666390">
        <w:t xml:space="preserve"> We assume budgets are handled in Millions ($M$) or Billions ($B$) to keep the UI clean and prevent "digit fatigue" in the KPI row.</w:t>
      </w:r>
    </w:p>
    <w:sectPr w:rsidR="00666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DFE"/>
    <w:multiLevelType w:val="hybridMultilevel"/>
    <w:tmpl w:val="D2F49554"/>
    <w:lvl w:ilvl="0" w:tplc="AB845F8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755AA"/>
    <w:multiLevelType w:val="hybridMultilevel"/>
    <w:tmpl w:val="DC48588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CA37E3"/>
    <w:multiLevelType w:val="hybridMultilevel"/>
    <w:tmpl w:val="677C7BD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4D12740"/>
    <w:multiLevelType w:val="hybridMultilevel"/>
    <w:tmpl w:val="DC2864BC"/>
    <w:lvl w:ilvl="0" w:tplc="E9E8FE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6470433">
    <w:abstractNumId w:val="3"/>
  </w:num>
  <w:num w:numId="2" w16cid:durableId="109591702">
    <w:abstractNumId w:val="1"/>
  </w:num>
  <w:num w:numId="3" w16cid:durableId="153957884">
    <w:abstractNumId w:val="0"/>
  </w:num>
  <w:num w:numId="4" w16cid:durableId="1787263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90"/>
    <w:rsid w:val="00666390"/>
    <w:rsid w:val="0089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8ACE9"/>
  <w15:chartTrackingRefBased/>
  <w15:docId w15:val="{7065264E-E2FB-43FF-AA17-2BDE2D25F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390"/>
  </w:style>
  <w:style w:type="paragraph" w:styleId="Heading1">
    <w:name w:val="heading 1"/>
    <w:basedOn w:val="Normal"/>
    <w:next w:val="Normal"/>
    <w:link w:val="Heading1Char"/>
    <w:uiPriority w:val="9"/>
    <w:qFormat/>
    <w:rsid w:val="00666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Peddity</dc:creator>
  <cp:keywords/>
  <dc:description/>
  <cp:lastModifiedBy>Wilson Peddity</cp:lastModifiedBy>
  <cp:revision>1</cp:revision>
  <dcterms:created xsi:type="dcterms:W3CDTF">2026-03-08T10:40:00Z</dcterms:created>
  <dcterms:modified xsi:type="dcterms:W3CDTF">2026-03-08T10:47:00Z</dcterms:modified>
</cp:coreProperties>
</file>