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1BCB" w14:textId="50C25244" w:rsidR="002B1F04" w:rsidRPr="003905DE" w:rsidRDefault="002B1F04" w:rsidP="003905DE">
      <w:pPr>
        <w:rPr>
          <w:b/>
          <w:bCs/>
          <w:sz w:val="32"/>
          <w:szCs w:val="32"/>
        </w:rPr>
      </w:pPr>
      <w:r w:rsidRPr="003905DE">
        <w:rPr>
          <w:b/>
          <w:bCs/>
          <w:sz w:val="32"/>
          <w:szCs w:val="32"/>
        </w:rPr>
        <w:t>User Documentation</w:t>
      </w:r>
    </w:p>
    <w:p w14:paraId="03E7DEBD" w14:textId="77777777" w:rsidR="002B1F04" w:rsidRDefault="002B1F04" w:rsidP="002B1F04">
      <w:pPr>
        <w:ind w:left="360"/>
        <w:rPr>
          <w:b/>
          <w:bCs/>
        </w:rPr>
      </w:pPr>
    </w:p>
    <w:p w14:paraId="22791CA6" w14:textId="73399A78" w:rsidR="002B1F04" w:rsidRDefault="002B1F04" w:rsidP="002B1F04">
      <w:pPr>
        <w:ind w:left="360"/>
      </w:pPr>
      <w:r w:rsidRPr="002B1F04">
        <w:rPr>
          <w:b/>
          <w:bCs/>
        </w:rPr>
        <w:t>Dashboard Overview:</w:t>
      </w:r>
      <w:r>
        <w:t xml:space="preserve"> This is a single-page, browser-based executive intelligence dashboard for tracking a pharmaceutical drug development portfolio. It presents data across three analytical views covering pipeline health, financial risk, and operational performance.</w:t>
      </w:r>
    </w:p>
    <w:p w14:paraId="08AE163F" w14:textId="328F5588" w:rsidR="002B1F04" w:rsidRDefault="002B1F04" w:rsidP="002B1F04">
      <w:pPr>
        <w:ind w:left="360"/>
      </w:pPr>
      <w:r w:rsidRPr="002B1F04">
        <w:rPr>
          <w:b/>
          <w:bCs/>
        </w:rPr>
        <w:t>Audience:</w:t>
      </w:r>
      <w:r>
        <w:t xml:space="preserve"> </w:t>
      </w:r>
      <w:r w:rsidRPr="002B1F04">
        <w:t xml:space="preserve">Portfolio managers, R&amp;D executives, clinical operations </w:t>
      </w:r>
      <w:proofErr w:type="gramStart"/>
      <w:r w:rsidRPr="002B1F04">
        <w:t>leads</w:t>
      </w:r>
      <w:proofErr w:type="gramEnd"/>
      <w:r w:rsidRPr="002B1F04">
        <w:t>, and finance partners who need a unified view of a drug development pipeline.</w:t>
      </w:r>
    </w:p>
    <w:p w14:paraId="1C71B1E5" w14:textId="77777777" w:rsidR="002B1F04" w:rsidRDefault="002B1F04" w:rsidP="002B1F04"/>
    <w:p w14:paraId="2361B2F0" w14:textId="3AB19237" w:rsidR="002B1F04" w:rsidRDefault="002B1F04" w:rsidP="002B1F04">
      <w:pPr>
        <w:pStyle w:val="ListParagraph"/>
        <w:numPr>
          <w:ilvl w:val="0"/>
          <w:numId w:val="3"/>
        </w:numPr>
      </w:pPr>
      <w:r w:rsidRPr="002B1F04">
        <w:rPr>
          <w:b/>
          <w:bCs/>
        </w:rPr>
        <w:t>Global KPI Bar:</w:t>
      </w:r>
      <w:r>
        <w:t xml:space="preserve"> At the top of every view, five key performance indicators are always visible.</w:t>
      </w:r>
    </w:p>
    <w:p w14:paraId="40BF462A" w14:textId="6C5A2F68" w:rsidR="002B1F04" w:rsidRDefault="002B1F04" w:rsidP="002B1F04">
      <w:pPr>
        <w:ind w:left="1080"/>
      </w:pPr>
      <w:r>
        <w:t>KPI Descriptions:</w:t>
      </w:r>
    </w:p>
    <w:p w14:paraId="67520A0A" w14:textId="50290A81" w:rsidR="002B1F04" w:rsidRDefault="002B1F04" w:rsidP="002B1F04">
      <w:pPr>
        <w:pStyle w:val="ListParagraph"/>
        <w:numPr>
          <w:ilvl w:val="1"/>
          <w:numId w:val="3"/>
        </w:numPr>
      </w:pPr>
      <w:r w:rsidRPr="002B1F04">
        <w:rPr>
          <w:b/>
          <w:bCs/>
        </w:rPr>
        <w:t>Active Assets:</w:t>
      </w:r>
      <w:r>
        <w:t xml:space="preserve"> Total programs in active development</w:t>
      </w:r>
    </w:p>
    <w:p w14:paraId="3A9C8CDD" w14:textId="7E38323F" w:rsidR="002B1F04" w:rsidRDefault="002B1F04" w:rsidP="002B1F04">
      <w:pPr>
        <w:pStyle w:val="ListParagraph"/>
        <w:numPr>
          <w:ilvl w:val="1"/>
          <w:numId w:val="3"/>
        </w:numPr>
      </w:pPr>
      <w:r w:rsidRPr="002B1F04">
        <w:rPr>
          <w:b/>
          <w:bCs/>
        </w:rPr>
        <w:t>Patients Enrolled:</w:t>
      </w:r>
      <w:r>
        <w:t xml:space="preserve"> Cumulative patients recruited across all trials</w:t>
      </w:r>
    </w:p>
    <w:p w14:paraId="4B48172B" w14:textId="0FF7E223" w:rsidR="002B1F04" w:rsidRDefault="002B1F04" w:rsidP="002B1F04">
      <w:pPr>
        <w:pStyle w:val="ListParagraph"/>
        <w:numPr>
          <w:ilvl w:val="1"/>
          <w:numId w:val="3"/>
        </w:numPr>
      </w:pPr>
      <w:r w:rsidRPr="002B1F04">
        <w:rPr>
          <w:b/>
          <w:bCs/>
        </w:rPr>
        <w:t>Total R&amp;D Budget:</w:t>
      </w:r>
      <w:r>
        <w:t xml:space="preserve"> Aggregate annual R&amp;D spend</w:t>
      </w:r>
    </w:p>
    <w:p w14:paraId="4A7D4397" w14:textId="0DAB8204" w:rsidR="002B1F04" w:rsidRDefault="002B1F04" w:rsidP="002B1F04">
      <w:pPr>
        <w:pStyle w:val="ListParagraph"/>
        <w:numPr>
          <w:ilvl w:val="1"/>
          <w:numId w:val="3"/>
        </w:numPr>
      </w:pPr>
      <w:r w:rsidRPr="002B1F04">
        <w:rPr>
          <w:b/>
          <w:bCs/>
        </w:rPr>
        <w:t>At-Risk Programs:</w:t>
      </w:r>
      <w:r>
        <w:t xml:space="preserve"> Programs flagged for schedule, cost, or safety concerns</w:t>
      </w:r>
    </w:p>
    <w:p w14:paraId="091AC25C" w14:textId="7595E819" w:rsidR="002B1F04" w:rsidRDefault="002B1F04" w:rsidP="002B1F04">
      <w:pPr>
        <w:pStyle w:val="ListParagraph"/>
        <w:numPr>
          <w:ilvl w:val="1"/>
          <w:numId w:val="3"/>
        </w:numPr>
      </w:pPr>
      <w:r w:rsidRPr="002B1F04">
        <w:rPr>
          <w:b/>
          <w:bCs/>
        </w:rPr>
        <w:t>Avg PTRS:</w:t>
      </w:r>
      <w:r>
        <w:t xml:space="preserve"> Average Probability of Technical &amp; Regulatory Success across the portfolio</w:t>
      </w:r>
    </w:p>
    <w:p w14:paraId="1FC7A243" w14:textId="06410206" w:rsidR="002B1F04" w:rsidRPr="008C041B" w:rsidRDefault="002B1F04" w:rsidP="002B1F04">
      <w:pPr>
        <w:pStyle w:val="ListParagraph"/>
        <w:numPr>
          <w:ilvl w:val="0"/>
          <w:numId w:val="3"/>
        </w:numPr>
        <w:rPr>
          <w:b/>
          <w:bCs/>
        </w:rPr>
      </w:pPr>
      <w:r w:rsidRPr="008C041B">
        <w:rPr>
          <w:b/>
          <w:bCs/>
        </w:rPr>
        <w:t>Tab</w:t>
      </w:r>
      <w:r w:rsidR="008C041B" w:rsidRPr="008C041B">
        <w:rPr>
          <w:b/>
          <w:bCs/>
        </w:rPr>
        <w:t xml:space="preserve"> </w:t>
      </w:r>
      <w:r w:rsidRPr="008C041B">
        <w:rPr>
          <w:b/>
          <w:bCs/>
        </w:rPr>
        <w:t>1: Portfolio &amp; Program Overview</w:t>
      </w:r>
    </w:p>
    <w:p w14:paraId="0F1D52E4" w14:textId="77777777" w:rsidR="002B1F04" w:rsidRDefault="002B1F04" w:rsidP="002B1F04">
      <w:pPr>
        <w:pStyle w:val="ListParagraph"/>
        <w:numPr>
          <w:ilvl w:val="1"/>
          <w:numId w:val="3"/>
        </w:numPr>
      </w:pPr>
      <w:r w:rsidRPr="008C041B">
        <w:rPr>
          <w:b/>
          <w:bCs/>
        </w:rPr>
        <w:t>Phase Distribution:</w:t>
      </w:r>
      <w:r>
        <w:t xml:space="preserve"> A custom trapezoid funnel showing asset count at each pipeline stage, from Discovery (42 assets) down to Regulatory submission (2 assets). The percentage on the right of each tier represents attrition relative to Discovery.</w:t>
      </w:r>
    </w:p>
    <w:p w14:paraId="687EEBE4" w14:textId="6331F20B" w:rsidR="002B1F04" w:rsidRDefault="002B1F04" w:rsidP="002B1F04">
      <w:pPr>
        <w:pStyle w:val="ListParagraph"/>
        <w:numPr>
          <w:ilvl w:val="1"/>
          <w:numId w:val="3"/>
        </w:numPr>
      </w:pPr>
      <w:r w:rsidRPr="008C041B">
        <w:rPr>
          <w:b/>
          <w:bCs/>
        </w:rPr>
        <w:t>Therapeutic Area:</w:t>
      </w:r>
      <w:r>
        <w:t xml:space="preserve"> </w:t>
      </w:r>
      <w:r w:rsidRPr="002B1F04">
        <w:t xml:space="preserve">A three-ring radial chart. The innermost ring represents the therapeutic area (Oncology, Neurology, Immunology, Cardiology). The middle ring shows individual indications. The outer ring breaks down Phase I, II, and III </w:t>
      </w:r>
      <w:proofErr w:type="gramStart"/>
      <w:r w:rsidRPr="002B1F04">
        <w:t>asset counts</w:t>
      </w:r>
      <w:proofErr w:type="gramEnd"/>
      <w:r w:rsidRPr="002B1F04">
        <w:t xml:space="preserve"> per indication. The center circle shows the total portfolio count (47 assets).</w:t>
      </w:r>
    </w:p>
    <w:p w14:paraId="6B284EFE" w14:textId="759ECC9C" w:rsidR="002B1F04" w:rsidRDefault="002B1F04" w:rsidP="002B1F04">
      <w:pPr>
        <w:pStyle w:val="ListParagraph"/>
        <w:numPr>
          <w:ilvl w:val="1"/>
          <w:numId w:val="3"/>
        </w:numPr>
      </w:pPr>
      <w:r w:rsidRPr="008C041B">
        <w:rPr>
          <w:b/>
          <w:bCs/>
        </w:rPr>
        <w:t>Program Timeline:</w:t>
      </w:r>
      <w:r>
        <w:t xml:space="preserve"> </w:t>
      </w:r>
      <w:r w:rsidRPr="002B1F04">
        <w:t xml:space="preserve">An interactive Gantt chart spanning January 2024 to June 2027. </w:t>
      </w:r>
      <w:proofErr w:type="gramStart"/>
      <w:r w:rsidRPr="002B1F04">
        <w:t>Click</w:t>
      </w:r>
      <w:proofErr w:type="gramEnd"/>
      <w:r w:rsidRPr="002B1F04">
        <w:t xml:space="preserve"> any program row (dark green bar) to expand or collapse its individual studies.</w:t>
      </w:r>
    </w:p>
    <w:p w14:paraId="1DFBCE12" w14:textId="77777777" w:rsidR="002B1F04" w:rsidRDefault="002B1F04" w:rsidP="002B1F04">
      <w:pPr>
        <w:ind w:left="1800"/>
      </w:pPr>
      <w:r>
        <w:t>Dark green bars = Program-level timeline</w:t>
      </w:r>
    </w:p>
    <w:p w14:paraId="13DFE06B" w14:textId="3CA97CC7" w:rsidR="002B1F04" w:rsidRDefault="002B1F04" w:rsidP="002B1F04">
      <w:pPr>
        <w:ind w:left="1800"/>
      </w:pPr>
      <w:r>
        <w:t>Teal bars = Individual study timelines</w:t>
      </w:r>
    </w:p>
    <w:p w14:paraId="0EB134ED" w14:textId="0987680A" w:rsidR="002B1F04" w:rsidRDefault="002B1F04" w:rsidP="002B1F04">
      <w:pPr>
        <w:ind w:left="1440" w:firstLine="360"/>
      </w:pPr>
      <w:r>
        <w:t>Teal/green dots = First Patient In (FPI) and Last Patient Out (LPO) milestones</w:t>
      </w:r>
    </w:p>
    <w:p w14:paraId="11120914" w14:textId="77777777" w:rsidR="002B1F04" w:rsidRDefault="002B1F04" w:rsidP="002B1F04">
      <w:pPr>
        <w:ind w:left="1440" w:firstLine="360"/>
      </w:pPr>
      <w:r>
        <w:lastRenderedPageBreak/>
        <w:t>Green diamond = Key study milestone</w:t>
      </w:r>
    </w:p>
    <w:p w14:paraId="736E79C3" w14:textId="702C17F5" w:rsidR="002B1F04" w:rsidRDefault="002B1F04" w:rsidP="002B1F04">
      <w:pPr>
        <w:ind w:left="1440" w:firstLine="360"/>
      </w:pPr>
      <w:r>
        <w:t>Red dashed vertical line = Today (March 7, 2026)</w:t>
      </w:r>
    </w:p>
    <w:p w14:paraId="21D6BBD2" w14:textId="0228CB45" w:rsidR="002B1F04" w:rsidRDefault="002B1F04" w:rsidP="002B1F04">
      <w:pPr>
        <w:pStyle w:val="ListParagraph"/>
        <w:numPr>
          <w:ilvl w:val="1"/>
          <w:numId w:val="3"/>
        </w:numPr>
      </w:pPr>
      <w:r w:rsidRPr="008C041B">
        <w:rPr>
          <w:b/>
          <w:bCs/>
        </w:rPr>
        <w:t>Actual vs. Planned Enrollment:</w:t>
      </w:r>
      <w:r>
        <w:t xml:space="preserve"> </w:t>
      </w:r>
      <w:r w:rsidRPr="002B1F04">
        <w:t>Tracks cumulative patient recruitment across FY 2026. The dashed amber line is the original enrollment plan. The solid navy line with shading shows actual recruitment through month 9 (September). The dashed navy continuation shows the enrollment forecast through year-end.</w:t>
      </w:r>
    </w:p>
    <w:p w14:paraId="22D72BB1" w14:textId="51B25A50" w:rsidR="002B1F04" w:rsidRDefault="002B1F04" w:rsidP="002B1F04">
      <w:pPr>
        <w:pStyle w:val="ListParagraph"/>
        <w:numPr>
          <w:ilvl w:val="1"/>
          <w:numId w:val="3"/>
        </w:numPr>
      </w:pPr>
      <w:r w:rsidRPr="008C041B">
        <w:rPr>
          <w:b/>
          <w:bCs/>
        </w:rPr>
        <w:t>Asset Health Heatmap:</w:t>
      </w:r>
      <w:r>
        <w:t xml:space="preserve"> A 5×5 grid crossing Therapeutic Areas (rows) against Programs A–E (columns). Each cell shows the operational health of that asset.</w:t>
      </w:r>
    </w:p>
    <w:p w14:paraId="2C5A3A89" w14:textId="77777777" w:rsidR="008C041B" w:rsidRDefault="008C041B" w:rsidP="002B1F04">
      <w:pPr>
        <w:ind w:left="1800"/>
        <w:rPr>
          <w:rFonts w:ascii="Segoe UI Symbol" w:hAnsi="Segoe UI Symbol" w:cs="Segoe UI Symbol"/>
        </w:rPr>
      </w:pPr>
      <w:r>
        <w:t xml:space="preserve">Green </w:t>
      </w:r>
      <w:r>
        <w:rPr>
          <w:rFonts w:ascii="Segoe UI Symbol" w:hAnsi="Segoe UI Symbol" w:cs="Segoe UI Symbol"/>
        </w:rPr>
        <w:t>✓= On Track</w:t>
      </w:r>
    </w:p>
    <w:p w14:paraId="551A0F7E" w14:textId="7CFBA6F4" w:rsidR="008C041B" w:rsidRDefault="008C041B" w:rsidP="002B1F04">
      <w:pPr>
        <w:ind w:left="1800"/>
      </w:pPr>
      <w:proofErr w:type="gramStart"/>
      <w:r>
        <w:t>Amber !</w:t>
      </w:r>
      <w:proofErr w:type="gramEnd"/>
      <w:r>
        <w:t xml:space="preserve"> = At Risk</w:t>
      </w:r>
    </w:p>
    <w:p w14:paraId="4581415C" w14:textId="0D61576A" w:rsidR="002B1F04" w:rsidRDefault="008C041B" w:rsidP="008C041B">
      <w:pPr>
        <w:ind w:left="1800"/>
      </w:pPr>
      <w:r>
        <w:t xml:space="preserve">Red </w:t>
      </w:r>
      <w:r>
        <w:rPr>
          <w:rFonts w:ascii="Segoe UI Symbol" w:hAnsi="Segoe UI Symbol" w:cs="Segoe UI Symbol"/>
        </w:rPr>
        <w:t>✕</w:t>
      </w:r>
      <w:r>
        <w:t xml:space="preserve"> = Critical</w:t>
      </w:r>
    </w:p>
    <w:p w14:paraId="7ECBE603" w14:textId="77777777" w:rsidR="008C041B" w:rsidRDefault="008C041B" w:rsidP="008C041B">
      <w:pPr>
        <w:ind w:left="1800"/>
      </w:pPr>
    </w:p>
    <w:p w14:paraId="20AD8296" w14:textId="60FDDE2B" w:rsidR="008C041B" w:rsidRPr="008C041B" w:rsidRDefault="008C041B" w:rsidP="008C041B">
      <w:pPr>
        <w:pStyle w:val="ListParagraph"/>
        <w:numPr>
          <w:ilvl w:val="0"/>
          <w:numId w:val="3"/>
        </w:numPr>
        <w:rPr>
          <w:b/>
          <w:bCs/>
        </w:rPr>
      </w:pPr>
      <w:r w:rsidRPr="008C041B">
        <w:rPr>
          <w:b/>
          <w:bCs/>
        </w:rPr>
        <w:t>Tab 2: Risk, Cost &amp; Patient Demographics</w:t>
      </w:r>
    </w:p>
    <w:p w14:paraId="0CF00A55" w14:textId="77777777" w:rsidR="008C041B" w:rsidRDefault="008C041B" w:rsidP="008C041B">
      <w:pPr>
        <w:pStyle w:val="ListParagraph"/>
        <w:numPr>
          <w:ilvl w:val="1"/>
          <w:numId w:val="3"/>
        </w:numPr>
      </w:pPr>
      <w:r w:rsidRPr="008C041B">
        <w:rPr>
          <w:b/>
          <w:bCs/>
        </w:rPr>
        <w:t>Risk vs. ROI Matrix (PTRS × NPV):</w:t>
      </w:r>
      <w:r>
        <w:t xml:space="preserve"> </w:t>
      </w:r>
      <w:r w:rsidRPr="008C041B">
        <w:t>A bubble scatter plot. Each bubble is a program asset.</w:t>
      </w:r>
      <w:r>
        <w:t xml:space="preserve"> </w:t>
      </w:r>
    </w:p>
    <w:p w14:paraId="5CEC7BF7" w14:textId="7B9E1297" w:rsidR="008C041B" w:rsidRDefault="008C041B" w:rsidP="008C041B">
      <w:pPr>
        <w:ind w:left="1080" w:firstLine="360"/>
      </w:pPr>
      <w:r>
        <w:t>X-axis = PTRS % (probability of success)</w:t>
      </w:r>
    </w:p>
    <w:p w14:paraId="775C93FC" w14:textId="71CB2A81" w:rsidR="008C041B" w:rsidRDefault="008C041B" w:rsidP="008C041B">
      <w:pPr>
        <w:ind w:left="720" w:firstLine="720"/>
      </w:pPr>
      <w:r>
        <w:t>Y-axis = NPV in $B (net present value)</w:t>
      </w:r>
    </w:p>
    <w:p w14:paraId="35A621E9" w14:textId="6BC1DDA6" w:rsidR="008C041B" w:rsidRDefault="008C041B" w:rsidP="008C041B">
      <w:pPr>
        <w:ind w:left="720" w:firstLine="720"/>
      </w:pPr>
      <w:r>
        <w:t>Bubble size = Relative budget allocation</w:t>
      </w:r>
    </w:p>
    <w:p w14:paraId="0DBB652D" w14:textId="33A7E763" w:rsidR="008C041B" w:rsidRDefault="008C041B" w:rsidP="008C041B">
      <w:pPr>
        <w:ind w:left="1440"/>
      </w:pPr>
      <w:r>
        <w:t>Quadrant dividers (at PTRS = 50%, NPV = $2.5B</w:t>
      </w:r>
      <w:proofErr w:type="gramStart"/>
      <w:r>
        <w:t>) help</w:t>
      </w:r>
      <w:proofErr w:type="gramEnd"/>
      <w:r>
        <w:t xml:space="preserve"> categorize assets into four strategic zones (e.g., "High PTRS / High NPV" = Invest; "Low PTRS / Low NPV" = Divest). Hover a bubble for the program ID, area, PTRS, and NPV.</w:t>
      </w:r>
    </w:p>
    <w:p w14:paraId="6CFAE291" w14:textId="4FBCCA71" w:rsidR="008C041B" w:rsidRDefault="008C041B" w:rsidP="008C041B">
      <w:pPr>
        <w:pStyle w:val="ListParagraph"/>
        <w:numPr>
          <w:ilvl w:val="1"/>
          <w:numId w:val="3"/>
        </w:numPr>
      </w:pPr>
      <w:r w:rsidRPr="008C041B">
        <w:rPr>
          <w:b/>
          <w:bCs/>
        </w:rPr>
        <w:t>Enrollment by Region &amp; Study:</w:t>
      </w:r>
      <w:r>
        <w:t xml:space="preserve"> </w:t>
      </w:r>
      <w:r w:rsidRPr="008C041B">
        <w:t>A stacked bar chart showing how patients are distributed geographically (North America, Europe, APAC, LATAM) across six study cohorts.</w:t>
      </w:r>
    </w:p>
    <w:p w14:paraId="127D84F8" w14:textId="701CAABC" w:rsidR="008C041B" w:rsidRDefault="008C041B" w:rsidP="008C041B">
      <w:pPr>
        <w:pStyle w:val="ListParagraph"/>
        <w:numPr>
          <w:ilvl w:val="1"/>
          <w:numId w:val="3"/>
        </w:numPr>
      </w:pPr>
      <w:r w:rsidRPr="008C041B">
        <w:rPr>
          <w:b/>
          <w:bCs/>
        </w:rPr>
        <w:t>Budget Allocation by Phase:</w:t>
      </w:r>
      <w:r>
        <w:t xml:space="preserve"> </w:t>
      </w:r>
      <w:r w:rsidRPr="008C041B">
        <w:t>A donut chart showing the percentage of the $2.3B R&amp;D budget allocated across Pre-Clinical, Phase I, Phase II, Phase III, and Regulatory stages.</w:t>
      </w:r>
    </w:p>
    <w:p w14:paraId="1B1F1C25" w14:textId="6C1B8FE9" w:rsidR="008C041B" w:rsidRDefault="008C041B" w:rsidP="008C041B">
      <w:pPr>
        <w:pStyle w:val="ListParagraph"/>
        <w:numPr>
          <w:ilvl w:val="1"/>
          <w:numId w:val="3"/>
        </w:numPr>
      </w:pPr>
      <w:r w:rsidRPr="008C041B">
        <w:rPr>
          <w:b/>
          <w:bCs/>
        </w:rPr>
        <w:t>Milestone Tracker:</w:t>
      </w:r>
      <w:r>
        <w:t xml:space="preserve"> </w:t>
      </w:r>
      <w:r w:rsidRPr="008C041B">
        <w:t xml:space="preserve">Each row shows one metric (e.g., "AMBER-01 Enrollment"). The background shading shows poor/satisfactory/good bands. The colored bar is the actual value (blue = on target, red = below target). The </w:t>
      </w:r>
      <w:r w:rsidRPr="008C041B">
        <w:lastRenderedPageBreak/>
        <w:t>vertical black marker is the target. The text to the right shows `actual / target`.</w:t>
      </w:r>
    </w:p>
    <w:p w14:paraId="7E99B846" w14:textId="7137D188" w:rsidR="008C041B" w:rsidRDefault="008C041B" w:rsidP="008C041B">
      <w:pPr>
        <w:pStyle w:val="ListParagraph"/>
        <w:numPr>
          <w:ilvl w:val="1"/>
          <w:numId w:val="3"/>
        </w:numPr>
      </w:pPr>
      <w:r w:rsidRPr="008C041B">
        <w:rPr>
          <w:b/>
          <w:bCs/>
        </w:rPr>
        <w:t>Screen Failure Cascade:</w:t>
      </w:r>
      <w:r>
        <w:t xml:space="preserve"> </w:t>
      </w:r>
      <w:r w:rsidRPr="008C041B">
        <w:t xml:space="preserve">A patient waterfall chart showing how 2,800 screened patients </w:t>
      </w:r>
      <w:proofErr w:type="gramStart"/>
      <w:r w:rsidRPr="008C041B">
        <w:t>reduce</w:t>
      </w:r>
      <w:proofErr w:type="gramEnd"/>
      <w:r w:rsidRPr="008C041B">
        <w:t xml:space="preserve"> to 1,820 randomized patients through attrition at inclusion/exclusion criteria review, consent, and screen failure stages.</w:t>
      </w:r>
    </w:p>
    <w:p w14:paraId="3108FFE7" w14:textId="5E4A3C73" w:rsidR="008C041B" w:rsidRDefault="008C041B" w:rsidP="008C041B">
      <w:pPr>
        <w:pStyle w:val="ListParagraph"/>
        <w:numPr>
          <w:ilvl w:val="0"/>
          <w:numId w:val="3"/>
        </w:numPr>
        <w:rPr>
          <w:b/>
          <w:bCs/>
        </w:rPr>
      </w:pPr>
      <w:r w:rsidRPr="008C041B">
        <w:rPr>
          <w:b/>
          <w:bCs/>
        </w:rPr>
        <w:t>Tab 3: Operational Views</w:t>
      </w:r>
    </w:p>
    <w:p w14:paraId="17FD0C26" w14:textId="4FA9F055" w:rsidR="008C041B" w:rsidRDefault="008C041B" w:rsidP="008C041B">
      <w:pPr>
        <w:pStyle w:val="ListParagraph"/>
        <w:numPr>
          <w:ilvl w:val="1"/>
          <w:numId w:val="3"/>
        </w:numPr>
      </w:pPr>
      <w:r w:rsidRPr="008C041B">
        <w:t>Patient Protocol Journey</w:t>
      </w:r>
      <w:r>
        <w:t xml:space="preserve">: </w:t>
      </w:r>
      <w:r w:rsidRPr="008C041B">
        <w:t xml:space="preserve">A flow diagram tracing patient paths from Screening </w:t>
      </w:r>
      <w:r w:rsidRPr="008C041B">
        <w:rPr>
          <w:rFonts w:ascii="Arial" w:hAnsi="Arial" w:cs="Arial"/>
        </w:rPr>
        <w:t>→</w:t>
      </w:r>
      <w:r w:rsidRPr="008C041B">
        <w:t xml:space="preserve"> Enrollment </w:t>
      </w:r>
      <w:r w:rsidRPr="008C041B">
        <w:rPr>
          <w:rFonts w:ascii="Arial" w:hAnsi="Arial" w:cs="Arial"/>
        </w:rPr>
        <w:t>→</w:t>
      </w:r>
      <w:r w:rsidRPr="008C041B">
        <w:t xml:space="preserve"> Protocol Arms (A and B) </w:t>
      </w:r>
      <w:r w:rsidRPr="008C041B">
        <w:rPr>
          <w:rFonts w:ascii="Arial" w:hAnsi="Arial" w:cs="Arial"/>
        </w:rPr>
        <w:t>→</w:t>
      </w:r>
      <w:r w:rsidRPr="008C041B">
        <w:t xml:space="preserve"> Completion or Withdrawal. Flow width is proportional to volume.</w:t>
      </w:r>
    </w:p>
    <w:p w14:paraId="55325189" w14:textId="7E0F3390" w:rsidR="008C041B" w:rsidRDefault="008C041B" w:rsidP="008C041B">
      <w:pPr>
        <w:pStyle w:val="ListParagraph"/>
        <w:numPr>
          <w:ilvl w:val="1"/>
          <w:numId w:val="3"/>
        </w:numPr>
      </w:pPr>
      <w:r w:rsidRPr="008C041B">
        <w:t>Site Activation Times</w:t>
      </w:r>
      <w:r>
        <w:t xml:space="preserve">: </w:t>
      </w:r>
      <w:r w:rsidRPr="008C041B">
        <w:t>Shows the distribution (median, IQR, whiskers, and outliers) of days-to-site-activation for four geographic regions (North America, Europe, APAC, LATAM). Orange dots are statistical outliers. The median days value is labeled above each box.</w:t>
      </w:r>
    </w:p>
    <w:p w14:paraId="5697164A" w14:textId="522DD12E" w:rsidR="008C041B" w:rsidRDefault="008C041B" w:rsidP="008C041B">
      <w:pPr>
        <w:pStyle w:val="ListParagraph"/>
        <w:numPr>
          <w:ilvl w:val="1"/>
          <w:numId w:val="3"/>
        </w:numPr>
      </w:pPr>
      <w:r>
        <w:t xml:space="preserve">Vendor / Site Performance: </w:t>
      </w:r>
      <w:r w:rsidRPr="008C041B">
        <w:t>Compares two CROs (CRO Alpha and CRO Beta) across six operational dimensions scored 0–100: Data Quality, Recruitment Speed, Protocol Compliance, Query Resolution, Site Management, and Reporting Timeliness.</w:t>
      </w:r>
    </w:p>
    <w:p w14:paraId="12C95CA4" w14:textId="41523A6D" w:rsidR="008C041B" w:rsidRDefault="008C041B" w:rsidP="008C041B">
      <w:pPr>
        <w:pStyle w:val="ListParagraph"/>
        <w:numPr>
          <w:ilvl w:val="1"/>
          <w:numId w:val="3"/>
        </w:numPr>
      </w:pPr>
      <w:r>
        <w:t xml:space="preserve">Data Query Volume: </w:t>
      </w:r>
      <w:r w:rsidRPr="008C041B">
        <w:t>A GitHub-style activity heatmap for the 2025 calendar year. Each square is one day, colored by query volume raised by clinical data monitors. Lighter = fewer queries; darker green = higher query volume. Hover a square for the exact date and query count.</w:t>
      </w:r>
    </w:p>
    <w:p w14:paraId="0E3895AE" w14:textId="4746B137" w:rsidR="008C041B" w:rsidRPr="008C041B" w:rsidRDefault="008C041B" w:rsidP="008C041B">
      <w:pPr>
        <w:pStyle w:val="ListParagraph"/>
        <w:numPr>
          <w:ilvl w:val="1"/>
          <w:numId w:val="3"/>
        </w:numPr>
      </w:pPr>
      <w:r>
        <w:t xml:space="preserve">Global Trial Footprint: </w:t>
      </w:r>
      <w:r w:rsidRPr="008C041B">
        <w:t>A simplified cartogram-style world map showing active clinical trial site counts by country. Shading ranges from light grey (low density) to deep navy (high density). A color scale legend appears in the bottom-left.</w:t>
      </w:r>
    </w:p>
    <w:p w14:paraId="289D2E61" w14:textId="77777777" w:rsidR="008C041B" w:rsidRDefault="008C041B" w:rsidP="008C041B">
      <w:pPr>
        <w:pStyle w:val="ListParagraph"/>
        <w:ind w:left="1080"/>
      </w:pPr>
    </w:p>
    <w:p w14:paraId="2D25DD74" w14:textId="77777777" w:rsidR="008C041B" w:rsidRDefault="008C041B" w:rsidP="008C041B">
      <w:pPr>
        <w:ind w:left="1800"/>
      </w:pPr>
    </w:p>
    <w:p w14:paraId="1BD7600C" w14:textId="77777777" w:rsidR="008C041B" w:rsidRDefault="008C041B" w:rsidP="008C041B">
      <w:pPr>
        <w:ind w:left="1800"/>
      </w:pPr>
    </w:p>
    <w:p w14:paraId="57F40A56" w14:textId="77777777" w:rsidR="002B1F04" w:rsidRDefault="002B1F04" w:rsidP="002B1F04">
      <w:pPr>
        <w:ind w:left="1080"/>
      </w:pPr>
    </w:p>
    <w:sectPr w:rsidR="002B1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804BD"/>
    <w:multiLevelType w:val="hybridMultilevel"/>
    <w:tmpl w:val="02FCD896"/>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59E4517"/>
    <w:multiLevelType w:val="hybridMultilevel"/>
    <w:tmpl w:val="D996077C"/>
    <w:lvl w:ilvl="0" w:tplc="88EC503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DA6C79"/>
    <w:multiLevelType w:val="hybridMultilevel"/>
    <w:tmpl w:val="04241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C963CF"/>
    <w:multiLevelType w:val="hybridMultilevel"/>
    <w:tmpl w:val="DEF04CE6"/>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F042198"/>
    <w:multiLevelType w:val="hybridMultilevel"/>
    <w:tmpl w:val="4ED0ECF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70A52F67"/>
    <w:multiLevelType w:val="hybridMultilevel"/>
    <w:tmpl w:val="0F2EDDD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862243">
    <w:abstractNumId w:val="2"/>
  </w:num>
  <w:num w:numId="2" w16cid:durableId="289751234">
    <w:abstractNumId w:val="5"/>
  </w:num>
  <w:num w:numId="3" w16cid:durableId="1226450454">
    <w:abstractNumId w:val="3"/>
  </w:num>
  <w:num w:numId="4" w16cid:durableId="1402479876">
    <w:abstractNumId w:val="1"/>
  </w:num>
  <w:num w:numId="5" w16cid:durableId="1178303499">
    <w:abstractNumId w:val="0"/>
  </w:num>
  <w:num w:numId="6" w16cid:durableId="854005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04"/>
    <w:rsid w:val="002B1F04"/>
    <w:rsid w:val="003905DE"/>
    <w:rsid w:val="00894C1F"/>
    <w:rsid w:val="008C0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121E7"/>
  <w15:chartTrackingRefBased/>
  <w15:docId w15:val="{BF860FB2-7EE4-45F5-ACE1-78B5F08AA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F04"/>
    <w:rPr>
      <w:rFonts w:eastAsiaTheme="majorEastAsia" w:cstheme="majorBidi"/>
      <w:color w:val="272727" w:themeColor="text1" w:themeTint="D8"/>
    </w:rPr>
  </w:style>
  <w:style w:type="paragraph" w:styleId="Title">
    <w:name w:val="Title"/>
    <w:basedOn w:val="Normal"/>
    <w:next w:val="Normal"/>
    <w:link w:val="TitleChar"/>
    <w:uiPriority w:val="10"/>
    <w:qFormat/>
    <w:rsid w:val="002B1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F04"/>
    <w:pPr>
      <w:spacing w:before="160"/>
      <w:jc w:val="center"/>
    </w:pPr>
    <w:rPr>
      <w:i/>
      <w:iCs/>
      <w:color w:val="404040" w:themeColor="text1" w:themeTint="BF"/>
    </w:rPr>
  </w:style>
  <w:style w:type="character" w:customStyle="1" w:styleId="QuoteChar">
    <w:name w:val="Quote Char"/>
    <w:basedOn w:val="DefaultParagraphFont"/>
    <w:link w:val="Quote"/>
    <w:uiPriority w:val="29"/>
    <w:rsid w:val="002B1F04"/>
    <w:rPr>
      <w:i/>
      <w:iCs/>
      <w:color w:val="404040" w:themeColor="text1" w:themeTint="BF"/>
    </w:rPr>
  </w:style>
  <w:style w:type="paragraph" w:styleId="ListParagraph">
    <w:name w:val="List Paragraph"/>
    <w:basedOn w:val="Normal"/>
    <w:uiPriority w:val="34"/>
    <w:qFormat/>
    <w:rsid w:val="002B1F04"/>
    <w:pPr>
      <w:ind w:left="720"/>
      <w:contextualSpacing/>
    </w:pPr>
  </w:style>
  <w:style w:type="character" w:styleId="IntenseEmphasis">
    <w:name w:val="Intense Emphasis"/>
    <w:basedOn w:val="DefaultParagraphFont"/>
    <w:uiPriority w:val="21"/>
    <w:qFormat/>
    <w:rsid w:val="002B1F04"/>
    <w:rPr>
      <w:i/>
      <w:iCs/>
      <w:color w:val="0F4761" w:themeColor="accent1" w:themeShade="BF"/>
    </w:rPr>
  </w:style>
  <w:style w:type="paragraph" w:styleId="IntenseQuote">
    <w:name w:val="Intense Quote"/>
    <w:basedOn w:val="Normal"/>
    <w:next w:val="Normal"/>
    <w:link w:val="IntenseQuoteChar"/>
    <w:uiPriority w:val="30"/>
    <w:qFormat/>
    <w:rsid w:val="002B1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F04"/>
    <w:rPr>
      <w:i/>
      <w:iCs/>
      <w:color w:val="0F4761" w:themeColor="accent1" w:themeShade="BF"/>
    </w:rPr>
  </w:style>
  <w:style w:type="character" w:styleId="IntenseReference">
    <w:name w:val="Intense Reference"/>
    <w:basedOn w:val="DefaultParagraphFont"/>
    <w:uiPriority w:val="32"/>
    <w:qFormat/>
    <w:rsid w:val="002B1F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Peddity</dc:creator>
  <cp:keywords/>
  <dc:description/>
  <cp:lastModifiedBy>Wilson Peddity</cp:lastModifiedBy>
  <cp:revision>2</cp:revision>
  <dcterms:created xsi:type="dcterms:W3CDTF">2026-03-08T10:06:00Z</dcterms:created>
  <dcterms:modified xsi:type="dcterms:W3CDTF">2026-03-08T10:47:00Z</dcterms:modified>
</cp:coreProperties>
</file>