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63A5A"/>
          <w:sz w:val="40"/>
          <w:szCs w:val="40"/>
        </w:rPr>
        <w:t xml:space="preserve">MGC SOP Portal</w:t>
      </w:r>
    </w:p>
    <w:p>
      <w:pPr>
        <w:spacing w:after="40"/>
        <w:jc w:val="center"/>
      </w:pPr>
      <w:r>
        <w:rPr>
          <w:b/>
          <w:bCs/>
          <w:color w:val="1E4E79"/>
          <w:sz w:val="28"/>
          <w:szCs w:val="28"/>
        </w:rPr>
        <w:t xml:space="preserve">Merge &amp; Redesign Report</w:t>
      </w:r>
    </w:p>
    <w:p>
      <w:pPr>
        <w:spacing w:after="320"/>
        <w:jc w:val="center"/>
      </w:pPr>
      <w:r>
        <w:rPr>
          <w:i/>
          <w:iCs/>
          <w:color w:val="6B7484"/>
          <w:sz w:val="20"/>
          <w:szCs w:val="20"/>
        </w:rPr>
        <w:t xml:space="preserve">Branch: dev/sop-redesign  •  Repository: wilsonsykes/MGSDiagramWorkflow</w:t>
      </w:r>
    </w:p>
    <w:p>
      <w:pPr>
        <w:pStyle w:val="Heading1"/>
      </w:pPr>
      <w:r>
        <w:t xml:space="preserve">1. Purpose</w:t>
      </w:r>
    </w:p>
    <w:p>
      <w:pPr>
        <w:spacing w:after="160"/>
      </w:pPr>
      <w:r>
        <w:t xml:space="preserve">This branch merges two sources into one SOP portal: the live GitHub site (wilsonsykes.github.io/MGSDiagramWorkflow — tabbed UI, JSON-driven generator, expand/collapse, print button, cross-linked Subprocess/Forms/Personnel reference tabs) and a local prototype, “Process_Systemization_Portal,” that already has real, grounded Masagana Gas Corporation (MGC) content organized as four numbered sections per stage: SOP Manual, Operational Guidelines, Approval Matrix &amp; Controls, and Current vs. Future Workflow.</w:t>
      </w:r>
    </w:p>
    <w:p>
      <w:pPr>
        <w:spacing w:after="160"/>
      </w:pPr>
      <w:r>
        <w:t xml:space="preserve">The goal was to keep roughly 80% of the GitHub UI and mechanics, adopt the local prototype’s four-section pattern per stage, merge the real content from both sources, and refresh the Personnel, Forms, and Subprocess reference tabs from the authoritative Personnel Table.xlsx (19 named staff). Everything described in this report lives on the dev/sop-redesign branch — nothing has touched main.</w:t>
      </w:r>
    </w:p>
    <w:p>
      <w:pPr>
        <w:pStyle w:val="Heading1"/>
      </w:pPr>
      <w:r>
        <w:t xml:space="preserve">2. What Changed — Architecture</w:t>
      </w:r>
    </w:p>
    <w:p>
      <w:pPr>
        <w:pStyle w:val="ListParagraph"/>
        <w:numPr>
          <w:ilvl w:val="0"/>
          <w:numId w:val="2"/>
        </w:numPr>
        <w:spacing w:after="100"/>
      </w:pPr>
      <w:r>
        <w:t xml:space="preserve">workflow_generate.py was rewritten: each stage now renders as a stacked 4-section document instead of the old two-column “Future cards | Current pain points” pipeline layout.</w:t>
      </w:r>
    </w:p>
    <w:p>
      <w:pPr>
        <w:pStyle w:val="ListParagraph"/>
        <w:numPr>
          <w:ilvl w:val="0"/>
          <w:numId w:val="2"/>
        </w:numPr>
        <w:spacing w:after="100"/>
      </w:pPr>
      <w:r>
        <w:t xml:space="preserve">New JSON stage schema: badge (confirmed/pending), sop_steps[], guidelines[], approval_matrix[] (transaction / threshold / initiator / reviewer / approver / controls), current_future{current[], future[]}, plus optional gap_note and sources fields.</w:t>
      </w:r>
    </w:p>
    <w:p>
      <w:pPr>
        <w:pStyle w:val="ListParagraph"/>
        <w:numPr>
          <w:ilvl w:val="0"/>
          <w:numId w:val="2"/>
        </w:numPr>
        <w:spacing w:after="100"/>
      </w:pPr>
      <w:r>
        <w:t xml:space="preserve">scripts/validate_workflow_json.py — the JSON Guard CI check — was rewritten to validate the new schema instead of the old card schema.</w:t>
      </w:r>
    </w:p>
    <w:p>
      <w:pPr>
        <w:pStyle w:val="ListParagraph"/>
        <w:numPr>
          <w:ilvl w:val="0"/>
          <w:numId w:val="2"/>
        </w:numPr>
        <w:spacing w:after="100"/>
      </w:pPr>
      <w:r>
        <w:t xml:space="preserve">The print stylesheet was redesigned: it hides interactive chrome, force-expands all sections, and uses a portrait page size (8.5in × 14in) suited to a stacked document, replacing the old wide pipeline print layout.</w:t>
      </w:r>
    </w:p>
    <w:p>
      <w:pPr>
        <w:pStyle w:val="ListParagraph"/>
        <w:numPr>
          <w:ilvl w:val="0"/>
          <w:numId w:val="2"/>
        </w:numPr>
        <w:spacing w:after="100"/>
      </w:pPr>
      <w:r>
        <w:t xml:space="preserve">mentions_loader.js (drives the “Workflow Mentions” panel on Personnel/Forms/Subprocess pages) was updated to scan the new sop_steps / guidelines / current_future fields instead of the old pain_points / features fields.</w:t>
      </w:r>
    </w:p>
    <w:p>
      <w:pPr>
        <w:pStyle w:val="ListParagraph"/>
        <w:numPr>
          <w:ilvl w:val="0"/>
          <w:numId w:val="2"/>
        </w:numPr>
        <w:spacing w:after="100"/>
      </w:pPr>
      <w:r>
        <w:t xml:space="preserve">Every “Inventory” reference was renamed to “Operations” throughout the merged content, page titles, and citations. The live site had already renamed the tab file to operations.html in a prior commit; the local prototype still said “Inventory / Operations” everywhere.</w:t>
      </w:r>
    </w:p>
    <w:p>
      <w:pPr>
        <w:pStyle w:val="Heading1"/>
      </w:pPr>
      <w:r>
        <w:t xml:space="preserve">3. Content Merge by Tab</w:t>
      </w:r>
    </w:p>
    <w:p>
      <w:pPr>
        <w:pStyle w:val="ListParagraph"/>
        <w:numPr>
          <w:ilvl w:val="0"/>
          <w:numId w:val="2"/>
        </w:numPr>
        <w:spacing w:after="100"/>
      </w:pPr>
      <w:r>
        <w:rPr>
          <w:b/>
          <w:bCs/>
        </w:rPr>
        <w:t xml:space="preserve">Accounting (pilot tab, built first): </w:t>
      </w:r>
      <w:r>
        <w:t xml:space="preserve">5 stages — Commercial, Bulk, Dealer, Retail, Overall. Commercial, Dealer, Retail, and Overall came from the local prototype’s fully-grounded content, which itself matches raw notes already present in GitHub’s old manual_stages pain_points almost verbatim — confirming the local content is a faithful refinement of the same source, not an independent invention. Bulk stays “partially confirmed” per the local prototype’s own gap note (both sources simply say “same as Commercial, with exceptions” and never list the exceptions).</w:t>
      </w:r>
    </w:p>
    <w:p>
      <w:pPr>
        <w:pStyle w:val="ListParagraph"/>
        <w:numPr>
          <w:ilvl w:val="0"/>
          <w:numId w:val="2"/>
        </w:numPr>
        <w:spacing w:after="100"/>
      </w:pPr>
      <w:r>
        <w:rPr>
          <w:b/>
          <w:bCs/>
        </w:rPr>
        <w:t xml:space="preserve">Operations (renamed from “Inventory”): </w:t>
      </w:r>
      <w:r>
        <w:t xml:space="preserve">5 stages — Commercial, Industrial (Bulk), Dealer, Retail, Company-Wide. GitHub’s old JSON here was almost entirely generic template placeholder text (“Replace Me,” “xx” tags) and was replaced wholesale with the local prototype’s grounded content. Retail stays “partially confirmed” (both sources say Retail simply inherits the Dealer plant-refilling flow, scaled down, with no Retail-specific documentation).</w:t>
      </w:r>
    </w:p>
    <w:p>
      <w:pPr>
        <w:pStyle w:val="ListParagraph"/>
        <w:numPr>
          <w:ilvl w:val="0"/>
          <w:numId w:val="2"/>
        </w:numPr>
        <w:spacing w:after="100"/>
      </w:pPr>
      <w:r>
        <w:rPr>
          <w:b/>
          <w:bCs/>
        </w:rPr>
        <w:t xml:space="preserve">Sales: </w:t>
      </w:r>
      <w:r>
        <w:t xml:space="preserve">5 stages — Commercial, Bulk, Dealer, Retail, Overall. Same pattern as Operations: GitHub’s placeholder cards were replaced with the local prototype’s grounded content. Bulk stays “partially confirmed” for the same “inherits Commercial, exceptions undocumented” reason.</w:t>
      </w:r>
    </w:p>
    <w:p>
      <w:pPr>
        <w:pStyle w:val="ListParagraph"/>
        <w:numPr>
          <w:ilvl w:val="0"/>
          <w:numId w:val="2"/>
        </w:numPr>
        <w:spacing w:after="100"/>
      </w:pPr>
      <w:r>
        <w:rPr>
          <w:b/>
          <w:bCs/>
        </w:rPr>
        <w:t xml:space="preserve">Main: </w:t>
      </w:r>
      <w:r>
        <w:t xml:space="preserve">GitHub’s old “Main” tab was a completely generic, unrelated sample-project template (Discovery / Planning / Execution / Launch / Optimization — no MGC content at all). It was repurposed as a single “Portal Overview” stage explaining how to read the four-section pattern, the cross-cutting governance themes, and a portal-wide stat line reusing the local prototype’s home-page legend fact (“12 of 15 stages fully confirmed”).</w:t>
      </w:r>
    </w:p>
    <w:p>
      <w:pPr>
        <w:pStyle w:val="Heading1"/>
      </w:pPr>
      <w:r>
        <w:t xml:space="preserve">4. Gap Notes Carried Forward</w:t>
      </w:r>
    </w:p>
    <w:p>
      <w:pPr>
        <w:spacing w:after="160"/>
      </w:pPr>
      <w:r>
        <w:t xml:space="preserve">These were flagged for client confirmation, not silently resolved:</w:t>
      </w:r>
    </w:p>
    <w:p>
      <w:pPr>
        <w:pStyle w:val="ListParagraph"/>
        <w:numPr>
          <w:ilvl w:val="0"/>
          <w:numId w:val="2"/>
        </w:numPr>
        <w:spacing w:after="100"/>
      </w:pPr>
      <w:r>
        <w:t xml:space="preserve">Accounting &gt; Bulk, Operations &gt; Retail, and Sales &gt; Bulk all explicitly say “same as [sibling stage], with exceptions” in the source material, but no source ever lists what the exceptions are. Recommend a short confirmation session per stage before treating these as final SOP.</w:t>
      </w:r>
    </w:p>
    <w:p>
      <w:pPr>
        <w:pStyle w:val="Heading1"/>
      </w:pPr>
      <w:r>
        <w:t xml:space="preserve">5. Personnel — Merged from Personnel Table.xlsx</w:t>
      </w:r>
    </w:p>
    <w:p>
      <w:pPr>
        <w:spacing w:after="160"/>
      </w:pPr>
      <w:r>
        <w:t xml:space="preserve">personnel.html was rebuilt from the 19-row staff roster across six departments (Operations, Sales, Engineering, Accounting, IT, Purchase Dispatch), replacing the old role-only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E4E79" w:val="clear"/>
            <w:tcMar>
              <w:top w:type="dxa" w:w="80"/>
              <w:left w:type="dxa" w:w="120"/>
              <w:bottom w:type="dxa" w:w="80"/>
              <w:right w:type="dxa" w:w="120"/>
            </w:tcMar>
          </w:tcPr>
          <w:p>
            <w:r>
              <w:rPr>
                <w:b/>
                <w:bCs/>
                <w:color w:val="FFFFFF"/>
              </w:rPr>
              <w:t xml:space="preserve">Department</w:t>
            </w:r>
          </w:p>
        </w:tc>
        <w:tc>
          <w:tcPr>
            <w:tcW w:type="dxa" w:w="2000"/>
            <w:tcBorders>
              <w:top w:val="single" w:color="CCCCCC" w:sz="1"/>
              <w:left w:val="single" w:color="CCCCCC" w:sz="1"/>
              <w:bottom w:val="single" w:color="CCCCCC" w:sz="1"/>
              <w:right w:val="single" w:color="CCCCCC" w:sz="1"/>
            </w:tcBorders>
            <w:shd w:fill="1E4E79" w:val="clear"/>
            <w:tcMar>
              <w:top w:type="dxa" w:w="80"/>
              <w:left w:type="dxa" w:w="120"/>
              <w:bottom w:type="dxa" w:w="80"/>
              <w:right w:type="dxa" w:w="120"/>
            </w:tcMar>
          </w:tcPr>
          <w:p>
            <w:r>
              <w:rPr>
                <w:b/>
                <w:bCs/>
                <w:color w:val="FFFFFF"/>
              </w:rPr>
              <w:t xml:space="preserve">Name</w:t>
            </w:r>
          </w:p>
        </w:tc>
        <w:tc>
          <w:tcPr>
            <w:tcW w:type="dxa" w:w="4960"/>
            <w:tcBorders>
              <w:top w:val="single" w:color="CCCCCC" w:sz="1"/>
              <w:left w:val="single" w:color="CCCCCC" w:sz="1"/>
              <w:bottom w:val="single" w:color="CCCCCC" w:sz="1"/>
              <w:right w:val="single" w:color="CCCCCC" w:sz="1"/>
            </w:tcBorders>
            <w:shd w:fill="1E4E79" w:val="clear"/>
            <w:tcMar>
              <w:top w:type="dxa" w:w="80"/>
              <w:left w:type="dxa" w:w="120"/>
              <w:bottom w:type="dxa" w:w="80"/>
              <w:right w:type="dxa" w:w="120"/>
            </w:tcMar>
          </w:tcPr>
          <w:p>
            <w:r>
              <w:rPr>
                <w:b/>
                <w:bCs/>
                <w:color w:val="FFFFFF"/>
              </w:rPr>
              <w:t xml:space="preserve">Position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Joseph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Plant Operations Officer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Buding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Senior Plant Supervisor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Lexter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Operations Supervisor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Edmond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Warehouse and Quality Supervisor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Josephine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Regional Sales Manager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Lou</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 Assistant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Claire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 Assistant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AVP - Sales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Kenneth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 Plant Engineer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Industrial Engineer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Jerelyn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Eng'g Document Controller / Staff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Malou</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Accounting Manager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Vicky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OIC-Acctg / Credit &amp; Collection Analyst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Anton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Supervisor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Richel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Operations Supervisor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Juary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Accounting Sales Encoder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Jabert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 Manager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Purchase Dispatch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Liza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Logistics Officer</w:t>
            </w:r>
          </w:p>
        </w:tc>
      </w:tr>
    </w:tbl>
    <w:p>
      <w:pPr>
        <w:spacing w:after="100" w:before="200"/>
      </w:pPr>
      <w:r>
        <w:t xml:space="preserve"/>
      </w:r>
    </w:p>
    <w:p>
      <w:pPr>
        <w:spacing w:after="160"/>
      </w:pPr>
      <w:r>
        <w:t xml:space="preserve">Names already confirmed matching between the xlsx roster and the SOP source text — and therefore kept as named references rather than anonymized — include Joseph, Edmond, Mel, Lou, Claire, Jen, Jabert, Vicky, and Jef.</w:t>
      </w:r>
    </w:p>
    <w:p>
      <w:pPr>
        <w:spacing w:after="160"/>
      </w:pPr>
      <w:r>
        <w:t xml:space="preserve">Functional-role cards were kept alongside the named roster (Driver, Pahinante, Delivery Head, Warehouse Supervisor, Guard, Cashier, Sales Rep, Sales Assistant, Purchaser, Plant Manager, Plant Staff, Acctg Staff) because the SOP text refers to these by job title, not by a specific name, in most steps.</w:t>
      </w:r>
    </w:p>
    <w:p>
      <w:pPr>
        <w:pStyle w:val="Heading1"/>
      </w:pPr>
      <w:r>
        <w:t xml:space="preserve">6. Personnel Gaps and Ambiguities — Needs Client Confirmation</w:t>
      </w:r>
    </w:p>
    <w:p>
      <w:pPr>
        <w:pStyle w:val="ListParagraph"/>
        <w:numPr>
          <w:ilvl w:val="0"/>
          <w:numId w:val="2"/>
        </w:numPr>
        <w:spacing w:after="100"/>
      </w:pPr>
      <w:r>
        <w:rPr>
          <w:b/>
          <w:bCs/>
        </w:rPr>
        <w:t xml:space="preserve">“Sir RY”: </w:t>
      </w:r>
      <w:r>
        <w:t xml:space="preserve">referenced repeatedly across Operations and Sales as the top approver for pricing, quotas, and swap escalations, and matches the “RY” login already present in the site’s Log Notes panel — but is not on the Personnel Table staff roster. Likely an owner/executive tier not captured at staff level. Recommend adding an executive entry.</w:t>
      </w:r>
    </w:p>
    <w:p>
      <w:pPr>
        <w:pStyle w:val="ListParagraph"/>
        <w:numPr>
          <w:ilvl w:val="0"/>
          <w:numId w:val="2"/>
        </w:numPr>
        <w:spacing w:after="100"/>
      </w:pPr>
      <w:r>
        <w:rPr>
          <w:b/>
          <w:bCs/>
        </w:rPr>
        <w:t xml:space="preserve">“Nora”: </w:t>
      </w:r>
      <w:r>
        <w:t xml:space="preserve">mentioned in source material handling Dealer AR in Accounting — not on the roster. Folded generically into the “Acctg Staff” role card rather than invented as a named card.</w:t>
      </w:r>
    </w:p>
    <w:p>
      <w:pPr>
        <w:pStyle w:val="ListParagraph"/>
        <w:numPr>
          <w:ilvl w:val="0"/>
          <w:numId w:val="2"/>
        </w:numPr>
        <w:spacing w:after="100"/>
      </w:pPr>
      <w:r>
        <w:rPr>
          <w:b/>
          <w:bCs/>
        </w:rPr>
        <w:t xml:space="preserve">“Don”: </w:t>
      </w:r>
      <w:r>
        <w:t xml:space="preserve">mentioned in source material as the Retail plant cashier in Accounting — not on the roster. Folded generically into the “Cashier” role card.</w:t>
      </w:r>
    </w:p>
    <w:p>
      <w:pPr>
        <w:pStyle w:val="ListParagraph"/>
        <w:numPr>
          <w:ilvl w:val="0"/>
          <w:numId w:val="2"/>
        </w:numPr>
        <w:spacing w:after="100"/>
      </w:pPr>
      <w:r>
        <w:rPr>
          <w:b/>
          <w:bCs/>
        </w:rPr>
        <w:t xml:space="preserve">“Ms. Althea”: </w:t>
      </w:r>
      <w:r>
        <w:t xml:space="preserve">mentioned as a DOE liaison contact for new dealer accreditation — an external stakeholder, not expected on an internal staff roster. Kept as a plain role mention rather than a personnel card.</w:t>
      </w:r>
    </w:p>
    <w:p>
      <w:pPr>
        <w:pStyle w:val="ListParagraph"/>
        <w:numPr>
          <w:ilvl w:val="0"/>
          <w:numId w:val="2"/>
        </w:numPr>
        <w:spacing w:after="100"/>
      </w:pPr>
      <w:r>
        <w:rPr>
          <w:b/>
          <w:bCs/>
        </w:rPr>
        <w:t xml:space="preserve">Jabert / Jobert / Joebert: </w:t>
      </w:r>
      <w:r>
        <w:t xml:space="preserve">the source material and the prior version of personnel.html used three near-identical spellings for what appears to be the same IT-adjacent person (IT Head duties, competitor pricing, CODO/contact-center cascade). Consolidated to “Jabert” (the xlsx spelling, IT Manager) under one merged card. Recommend the client confirm this is one person, not two or three.</w:t>
      </w:r>
    </w:p>
    <w:p>
      <w:pPr>
        <w:pStyle w:val="ListParagraph"/>
        <w:numPr>
          <w:ilvl w:val="0"/>
          <w:numId w:val="2"/>
        </w:numPr>
        <w:spacing w:after="100"/>
      </w:pPr>
      <w:r>
        <w:rPr>
          <w:b/>
          <w:bCs/>
        </w:rPr>
        <w:t xml:space="preserve">Richel: </w:t>
      </w:r>
      <w:r>
        <w:t xml:space="preserve">the roster lists her under the Accounting department but with the position title “Operations Supervisor.” Kept exactly as given in the source xlsx, flagged here in case it is a data-entry inconsistency rather than intentional.</w:t>
      </w:r>
    </w:p>
    <w:p>
      <w:pPr>
        <w:pStyle w:val="ListParagraph"/>
        <w:numPr>
          <w:ilvl w:val="0"/>
          <w:numId w:val="2"/>
        </w:numPr>
        <w:spacing w:after="100"/>
      </w:pPr>
      <w:r>
        <w:rPr>
          <w:b/>
          <w:bCs/>
        </w:rPr>
        <w:t xml:space="preserve">Buding, Lexter, Kenneth, Jerelyn, Anton, Juary, Liza: </w:t>
      </w:r>
      <w:r>
        <w:t xml:space="preserve">all seven are on the roster but not yet mentioned by name anywhere in the current SOP source text, so their cards currently show only Department and Position with no specific workflow cross-reference.</w:t>
      </w:r>
    </w:p>
    <w:p>
      <w:pPr>
        <w:pStyle w:val="Heading1"/>
      </w:pPr>
      <w:r>
        <w:t xml:space="preserve">7. Out of Scope / Not Carried Over</w:t>
      </w:r>
    </w:p>
    <w:p>
      <w:pPr>
        <w:pStyle w:val="ListParagraph"/>
        <w:numPr>
          <w:ilvl w:val="0"/>
          <w:numId w:val="2"/>
        </w:numPr>
        <w:spacing w:after="100"/>
      </w:pPr>
      <w:r>
        <w:t xml:space="preserve">The local prototype’s separate consolidated “Master Approval Matrix” and “Operational Guidelines” pages (approval-matrix.html, guidelines.html) were not added as new top-level tabs. Their content is instead represented as the per-stage Approval Matrix section and as a “Cross-Stage Governance” block on each tab plus the Main tab overview. Adding them as dedicated tabs is a reasonable follow-up if the client wants the exact same navigation as the local prototype.</w:t>
      </w:r>
    </w:p>
    <w:p>
      <w:pPr>
        <w:pStyle w:val="ListParagraph"/>
        <w:numPr>
          <w:ilvl w:val="0"/>
          <w:numId w:val="2"/>
        </w:numPr>
        <w:spacing w:after="100"/>
      </w:pPr>
      <w:r>
        <w:t xml:space="preserve">The local prototype’s A3 swimlane flowchart page (flowcharts.html, Inventory_Commercial_A3_Sample.html) was not carried over — no equivalent asset exists in the GitHub repo, and flowcharts were not part of this task’s scope.</w:t>
      </w:r>
    </w:p>
    <w:p>
      <w:pPr>
        <w:pStyle w:val="Heading1"/>
      </w:pPr>
      <w:r>
        <w:t xml:space="preserve">8. Verification Done</w:t>
      </w:r>
    </w:p>
    <w:p>
      <w:pPr>
        <w:pStyle w:val="ListParagraph"/>
        <w:numPr>
          <w:ilvl w:val="0"/>
          <w:numId w:val="2"/>
        </w:numPr>
        <w:spacing w:after="100"/>
      </w:pPr>
      <w:r>
        <w:t xml:space="preserve">python workflow_generate.py (all 4 tabs) — regenerates clean.</w:t>
      </w:r>
    </w:p>
    <w:p>
      <w:pPr>
        <w:pStyle w:val="ListParagraph"/>
        <w:numPr>
          <w:ilvl w:val="0"/>
          <w:numId w:val="2"/>
        </w:numPr>
        <w:spacing w:after="100"/>
      </w:pPr>
      <w:r>
        <w:t xml:space="preserve">scripts/validate_workflow_json.py — passes with zero errors (this is what the JSON Guard GitHub Action runs).</w:t>
      </w:r>
    </w:p>
    <w:p>
      <w:pPr>
        <w:pStyle w:val="ListParagraph"/>
        <w:numPr>
          <w:ilvl w:val="0"/>
          <w:numId w:val="2"/>
        </w:numPr>
        <w:spacing w:after="100"/>
      </w:pPr>
      <w:r>
        <w:t xml:space="preserve">scripts/validate_index_html.py — passes with zero errors on all 8 HTML files (index, main, operations, sales, accounting, personnel, forms, subprocess) — this is what HTML Guard runs.</w:t>
      </w:r>
    </w:p>
    <w:p>
      <w:pPr>
        <w:pStyle w:val="ListParagraph"/>
        <w:numPr>
          <w:ilvl w:val="0"/>
          <w:numId w:val="2"/>
        </w:numPr>
        <w:spacing w:after="100"/>
      </w:pPr>
      <w:r>
        <w:t xml:space="preserve">Manually verified in a live preview: stage expand/collapse, cross-reference links (Operations/Sales/Accounting ↔ Personnel/Forms/Subprocess), and the Print button’s new page layout.</w:t>
      </w:r>
    </w:p>
    <w:p>
      <w:pPr>
        <w:pStyle w:val="Heading1"/>
      </w:pPr>
      <w:r>
        <w:t xml:space="preserve">9. Next Steps</w:t>
      </w:r>
    </w:p>
    <w:p>
      <w:pPr>
        <w:pStyle w:val="ListParagraph"/>
        <w:numPr>
          <w:ilvl w:val="0"/>
          <w:numId w:val="2"/>
        </w:numPr>
        <w:spacing w:after="100"/>
      </w:pPr>
      <w:r>
        <w:t xml:space="preserve">Review the dev/sop-redesign branch and confirm the gap notes and personnel ambiguities listed above.</w:t>
      </w:r>
    </w:p>
    <w:p>
      <w:pPr>
        <w:pStyle w:val="ListParagraph"/>
        <w:numPr>
          <w:ilvl w:val="0"/>
          <w:numId w:val="2"/>
        </w:numPr>
        <w:spacing w:after="100"/>
      </w:pPr>
      <w:r>
        <w:t xml:space="preserve">Merge dev/sop-redesign into main once approved — the branch stays as-is until then; nothing has touched main.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63A5A"/>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E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2026-07-02T05:46:58.581Z</dcterms:created>
  <dcterms:modified xsi:type="dcterms:W3CDTF">2026-07-02T05:46:58.582Z</dcterms:modified>
</cp:coreProperties>
</file>

<file path=docProps/custom.xml><?xml version="1.0" encoding="utf-8"?>
<Properties xmlns="http://schemas.openxmlformats.org/officeDocument/2006/custom-properties" xmlns:vt="http://schemas.openxmlformats.org/officeDocument/2006/docPropsVTypes"/>
</file>