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7365D"/>
          <w:sz w:val="44"/>
        </w:rPr>
        <w:t>Micron Technology（MU）</w:t>
      </w:r>
    </w:p>
    <w:p>
      <w:pPr>
        <w:jc w:val="center"/>
      </w:pPr>
      <w:r>
        <w:rPr>
          <w:rFonts w:ascii="Times New Roman" w:hAnsi="Times New Roman"/>
          <w:b/>
          <w:color w:val="595959"/>
          <w:sz w:val="28"/>
        </w:rPr>
        <w:t>FY2026 第二季財報更新報告  |  FQ2 2026 Earnings Update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投資評等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買進 (Buy) ✓ 維持</w:t>
            </w:r>
          </w:p>
        </w:tc>
      </w:tr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目標價格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$500（上調自 $450）</w:t>
            </w:r>
          </w:p>
        </w:tc>
      </w:tr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現時股價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$422.90（2026/03/20）</w:t>
            </w:r>
          </w:p>
        </w:tc>
      </w:tr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潛在漲幅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+18.2%</w:t>
            </w:r>
          </w:p>
        </w:tc>
      </w:tr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報告日期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2026年3月22日</w:t>
            </w:r>
          </w:p>
        </w:tc>
      </w:tr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分析師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台灣科技股研究團隊</w:t>
            </w:r>
          </w:p>
        </w:tc>
      </w:tr>
      <w:tr>
        <w:tc>
          <w:tcPr>
            <w:tcW w:type="dxa" w:w="2880"/>
            <w:shd w:val="clear" w:color="auto" w:fill="17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數據來源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FQ2 2026 法說會逐字稿 + SEC 10-Q</w:t>
            </w:r>
          </w:p>
        </w:tc>
      </w:tr>
    </w:tbl>
    <w:p/>
    <w:p>
      <w:pPr>
        <w:spacing w:before="80" w:after="80"/>
        <w:pBdr>
          <w:bottom w:val="single" w:sz="6" w:space="1" w:color="17365D"/>
        </w:pBdr>
      </w:pPr>
    </w:p>
    <w:p>
      <w:pPr>
        <w:spacing w:before="160" w:after="80"/>
      </w:pPr>
      <w:r>
        <w:rPr>
          <w:b/>
          <w:color w:val="17365D"/>
          <w:sz w:val="26"/>
        </w:rPr>
        <w:t>核心要點  KEY TAKEAWAYS</w:t>
      </w:r>
    </w:p>
    <w:p>
      <w:pPr>
        <w:pStyle w:val="ListBullet"/>
      </w:pPr>
      <w:r>
        <w:rPr>
          <w:rFonts w:ascii="Times New Roman" w:hAnsi="Times New Roman"/>
          <w:sz w:val="20"/>
        </w:rPr>
        <w:t>【史詩級超預期】FQ2 營收 $23.9B 超法人共識 $19.2B（+24.6%），EPS $12.20 超共識 $8.79（+38.8%）。兩項均為公司歷史最大超預期幅度。</w:t>
      </w:r>
    </w:p>
    <w:p>
      <w:pPr>
        <w:pStyle w:val="ListBullet"/>
      </w:pPr>
      <w:r>
        <w:rPr>
          <w:rFonts w:ascii="Times New Roman" w:hAnsi="Times New Roman"/>
          <w:sz w:val="20"/>
        </w:rPr>
        <w:t>【毛利率創歷史新高】Non-GAAP 毛利率達 75%（+18pp QoQ），季增 18 個百分點，幾乎是上年同期的兩倍。</w:t>
      </w:r>
    </w:p>
    <w:p>
      <w:pPr>
        <w:pStyle w:val="ListBullet"/>
      </w:pPr>
      <w:r>
        <w:rPr>
          <w:rFonts w:ascii="Times New Roman" w:hAnsi="Times New Roman"/>
          <w:sz w:val="20"/>
        </w:rPr>
        <w:t>【FQ3 指引比 FQ2 再+40%】FQ3 指引營收 $33.5B（法人共識 $22.6B）、EPS $19.15（法人共識 $13.6B），再度大幅超越市場預期。</w:t>
      </w:r>
    </w:p>
    <w:p>
      <w:pPr>
        <w:pStyle w:val="ListBullet"/>
      </w:pPr>
      <w:r>
        <w:rPr>
          <w:rFonts w:ascii="Times New Roman" w:hAnsi="Times New Roman"/>
          <w:sz w:val="20"/>
        </w:rPr>
        <w:t>【HBM4 正式量產出貨】HBM4 36GB 12H 已於 CY2026 Q1 開始量產出貨，設計用於 NVIDIA Vera Rubin，是首個 HBM4 量產里程碑。</w:t>
      </w:r>
    </w:p>
    <w:p>
      <w:pPr>
        <w:pStyle w:val="ListBullet"/>
      </w:pPr>
      <w:r>
        <w:rPr>
          <w:rFonts w:ascii="Times New Roman" w:hAnsi="Times New Roman"/>
          <w:sz w:val="20"/>
        </w:rPr>
        <w:t>【首份五年戰略客戶協議（SCA）簽署】跨週期可見度大幅提升，商業模式穩定性優於傳統 LTA。</w:t>
      </w:r>
    </w:p>
    <w:p>
      <w:pPr>
        <w:pStyle w:val="ListBullet"/>
      </w:pPr>
      <w:r>
        <w:rPr>
          <w:rFonts w:ascii="Times New Roman" w:hAnsi="Times New Roman"/>
          <w:sz w:val="20"/>
        </w:rPr>
        <w:t>【FY2026 CapEx 上調至 $25B+】確認超級循環為多年持續事件；股息調升 30% 至 $0.15/季。</w:t>
      </w:r>
    </w:p>
    <w:p>
      <w:pPr>
        <w:spacing w:before="80" w:after="80"/>
        <w:pBdr>
          <w:bottom w:val="single" w:sz="6" w:space="1" w:color="17365D"/>
        </w:pBdr>
      </w:pPr>
    </w:p>
    <w:p>
      <w:pPr>
        <w:spacing w:before="160" w:after="80"/>
      </w:pPr>
      <w:r>
        <w:rPr>
          <w:b/>
          <w:color w:val="17365D"/>
          <w:sz w:val="26"/>
        </w:rPr>
        <w:t>財報快覽  RESULTS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財務指標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FQ2'26 實際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法人共識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超/低預期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QoQ 變化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YoY 變化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總營收 (US$B)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$23.86B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$19.19B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+24.3%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+75%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+196%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DRAM 營收 (US$B)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$18.8B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紀錄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+74%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+207%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NAND 營收 (US$B)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$5.0B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紀錄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+82%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+169%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毛利率 (非GAAP)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64%e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+11pp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+18pp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+37pp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營業利益率 (非GAAP)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紀錄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+22pp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+44pp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Non-GAAP EPS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$12.20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$8.79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+38.8%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+155%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+682%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Free Cash Flow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$6.9B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季度紀錄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+77%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N/M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淨現金部位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$6.5B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▲ 史上最高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</w:tbl>
    <w:p>
      <w:pPr>
        <w:spacing w:after="60"/>
      </w:pPr>
      <w:r>
        <w:rPr>
          <w:rFonts w:ascii="Times New Roman" w:hAnsi="Times New Roman"/>
          <w:i/>
          <w:sz w:val="16"/>
        </w:rPr>
        <w:t>資料來源：FQ2 2026 法說會逐字稿（2026/03/18）；Non-GAAP 數字。法人共識為彭博估計均值。</w:t>
      </w:r>
    </w:p>
    <w:p/>
    <w:p>
      <w:pPr>
        <w:spacing w:before="160" w:after="80"/>
      </w:pPr>
      <w:r>
        <w:rPr>
          <w:b/>
          <w:color w:val="4472C4"/>
          <w:sz w:val="24"/>
        </w:rPr>
        <w:t>季度財務趨勢</w:t>
      </w:r>
    </w:p>
    <w:p>
      <w:r>
        <w:drawing>
          <wp:inline xmlns:a="http://schemas.openxmlformats.org/drawingml/2006/main" xmlns:pic="http://schemas.openxmlformats.org/drawingml/2006/picture">
            <wp:extent cx="5943600" cy="2601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圖1：Micron 季度合并營收（US$B）；FQ3'26E $33.5B 指引超越公司任何歷史全年營收。資料來源：法說會。</w:t>
      </w:r>
    </w:p>
    <w:p>
      <w:r>
        <w:drawing>
          <wp:inline xmlns:a="http://schemas.openxmlformats.org/drawingml/2006/main" xmlns:pic="http://schemas.openxmlformats.org/drawingml/2006/picture">
            <wp:extent cx="5943600" cy="2603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圖2：Non-GAAP EPS（US$）；FQ2 $12.20 年增 682%；FQ3E $19.15 再創紀錄。資料來源：法說會。</w:t>
      </w:r>
    </w:p>
    <w:p>
      <w:r>
        <w:drawing>
          <wp:inline xmlns:a="http://schemas.openxmlformats.org/drawingml/2006/main" xmlns:pic="http://schemas.openxmlformats.org/drawingml/2006/picture">
            <wp:extent cx="5943600" cy="2603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圖3：Non-GAAP 毛利率（%）；FQ2 75% 創歷史紀錄，FQ3E 81%。資料來源：法說會。</w:t>
      </w:r>
    </w:p>
    <w:p>
      <w:r>
        <w:br w:type="page"/>
      </w:r>
    </w:p>
    <w:p>
      <w:pPr>
        <w:spacing w:before="160" w:after="80"/>
      </w:pPr>
      <w:r>
        <w:rPr>
          <w:b/>
          <w:color w:val="17365D"/>
          <w:sz w:val="26"/>
        </w:rPr>
        <w:t>部門分析  SEGMENT ANALYSIS</w:t>
      </w:r>
    </w:p>
    <w:p>
      <w:pPr>
        <w:spacing w:before="160" w:after="80"/>
      </w:pPr>
      <w:r>
        <w:rPr>
          <w:b/>
          <w:color w:val="4472C4"/>
          <w:sz w:val="22"/>
        </w:rPr>
        <w:t>① DRAM — $18.8B，+207% YoY（佔總營收 79%）</w:t>
      </w:r>
    </w:p>
    <w:p>
      <w:pPr>
        <w:spacing w:after="60"/>
      </w:pPr>
      <w:r>
        <w:rPr>
          <w:rFonts w:ascii="Times New Roman" w:hAnsi="Times New Roman"/>
          <w:i w:val="0"/>
          <w:sz w:val="20"/>
        </w:rPr>
        <w:t>DRAM 位元出貨量季增個位數中段，ASP 季增 65%，受惠於 AI 資料中心需求爆發及供給結構性限制。1-gamma 節點成為公司歷史上最快達到成熟良率的節點，預計 2026 年年中成為 DRAM 位元主力。HBM4 36GB 12H 已開始量產出貨用於 NVIDIA Vera Rubin，預計良率爬坡速度快於 HBM3E。DRAM 庫存天數仍低於 120 天，遠低於 123 天的整體平均，顯示供給極度緊張。</w:t>
      </w:r>
    </w:p>
    <w:p>
      <w:pPr>
        <w:spacing w:before="160" w:after="80"/>
      </w:pPr>
      <w:r>
        <w:rPr>
          <w:b/>
          <w:color w:val="4472C4"/>
          <w:sz w:val="22"/>
        </w:rPr>
        <w:t>② NAND — $5.0B，+169% YoY（佔總營收 21%）</w:t>
      </w:r>
    </w:p>
    <w:p>
      <w:pPr>
        <w:spacing w:after="60"/>
      </w:pPr>
      <w:r>
        <w:rPr>
          <w:rFonts w:ascii="Times New Roman" w:hAnsi="Times New Roman"/>
          <w:i w:val="0"/>
          <w:sz w:val="20"/>
        </w:rPr>
        <w:t>NAND 位元出貨量季增個位數低段，ASP 季增近 80%，資料中心 NAND 營收季增超過一倍。AI 應用（向量資料庫、KV Cache 卸載）及 SSD 在容量儲存層滲透率提升為主要驅動力。G9 節點（PCIe Gen6 高效能 SSD）正大量生產，122TB 高容量 SSD 獲廣泛採用。2026 年 NAND 供給預計僅增長約 20%，遠低於需求增速，供需緊張延伸至 2026 年後。</w:t>
      </w:r>
    </w:p>
    <w:p>
      <w:r>
        <w:drawing>
          <wp:inline xmlns:a="http://schemas.openxmlformats.org/drawingml/2006/main" xmlns:pic="http://schemas.openxmlformats.org/drawingml/2006/picture">
            <wp:extent cx="5029200" cy="53450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45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圖4：FQ2'26 營收結構（DRAM 78.7%，NAND 20.9%）。資料來源：法說會逐字稿。</w:t>
      </w:r>
    </w:p>
    <w:p>
      <w:r>
        <w:drawing>
          <wp:inline xmlns:a="http://schemas.openxmlformats.org/drawingml/2006/main" xmlns:pic="http://schemas.openxmlformats.org/drawingml/2006/picture">
            <wp:extent cx="5943600" cy="32727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圖5：各業務部門營收與毛利率；MCBU 毛利率 79% 最高。資料來源：法說會逐字稿。</w:t>
      </w:r>
    </w:p>
    <w:p>
      <w:r>
        <w:drawing>
          <wp:inline xmlns:a="http://schemas.openxmlformats.org/drawingml/2006/main" xmlns:pic="http://schemas.openxmlformats.org/drawingml/2006/picture">
            <wp:extent cx="5943600" cy="26039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圖6：Micron DRAM/NAND ASP 季環比漲幅；FQ2'26 DRAM+65%，NAND+78%。資料來源：法說會。</w:t>
      </w:r>
    </w:p>
    <w:p>
      <w:r>
        <w:br w:type="page"/>
      </w:r>
    </w:p>
    <w:p>
      <w:pPr>
        <w:spacing w:before="160" w:after="80"/>
      </w:pPr>
      <w:r>
        <w:rPr>
          <w:b/>
          <w:color w:val="17365D"/>
          <w:sz w:val="26"/>
        </w:rPr>
        <w:t>展望與指引  GUIDANCE &amp; OUTLOOK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949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FQ2'26 實際</w:t>
            </w:r>
          </w:p>
        </w:tc>
        <w:tc>
          <w:tcPr>
            <w:tcW w:type="dxa" w:w="1949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FQ3'26 指引</w:t>
            </w:r>
          </w:p>
        </w:tc>
        <w:tc>
          <w:tcPr>
            <w:tcW w:type="dxa" w:w="1949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法人原共識</w:t>
            </w:r>
          </w:p>
        </w:tc>
        <w:tc>
          <w:tcPr>
            <w:tcW w:type="dxa" w:w="1949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超指引幅度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營收 (US$B)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$23.86B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$33.5B ±$750M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$22.6B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+48.2%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毛利率 (Non-GAAP)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~81%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72%e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+9pp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EPS (Non-GAAP)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$12.20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$19.15 ±$0.40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$13.6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+40.8%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CapEx (US$B)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$5.0B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~$7.0B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FY26 &gt;$25B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股息 (US$/季)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$0.115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$0.15 (+30%)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提升 30%</w:t>
            </w:r>
          </w:p>
        </w:tc>
      </w:tr>
    </w:tbl>
    <w:p>
      <w:pPr>
        <w:spacing w:after="60"/>
      </w:pPr>
      <w:r>
        <w:rPr>
          <w:rFonts w:ascii="Times New Roman" w:hAnsi="Times New Roman"/>
          <w:i/>
          <w:sz w:val="16"/>
        </w:rPr>
        <w:t>資料來源：FQ2 2026 法說會（2026/03/18）。法人共識截至 2026/03/17 彭博均值。</w:t>
      </w:r>
    </w:p>
    <w:p/>
    <w:p>
      <w:pPr>
        <w:spacing w:after="60"/>
      </w:pPr>
      <w:r>
        <w:rPr>
          <w:rFonts w:ascii="Times New Roman" w:hAnsi="Times New Roman"/>
          <w:i w:val="0"/>
          <w:sz w:val="20"/>
        </w:rPr>
        <w:t>重要前瞻指引摘要：①FQ3 單季指引 $33.5B，超過公司 2024 財年全年營收，歷史先例；②81% 毛利率指引，HBM4 量產爬坡貢獻；③FY2026 CapEx &gt;$25B（含台灣銅羅廠收購），FY2027 CapEx 再大幅躍升；④簽署首份五年 SCA（Strategic Customer Agreement）。</w:t>
      </w:r>
    </w:p>
    <w:p>
      <w:r>
        <w:drawing>
          <wp:inline xmlns:a="http://schemas.openxmlformats.org/drawingml/2006/main" xmlns:pic="http://schemas.openxmlformats.org/drawingml/2006/picture">
            <wp:extent cx="5669280" cy="27963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6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圖7：FQ2'26 實際 vs 法人共識；三項主要指標均大幅超越預期。資料來源：Bloomberg 共識、法說會。</w:t>
      </w:r>
    </w:p>
    <w:p>
      <w:r>
        <w:drawing>
          <wp:inline xmlns:a="http://schemas.openxmlformats.org/drawingml/2006/main" xmlns:pic="http://schemas.openxmlformats.org/drawingml/2006/picture">
            <wp:extent cx="5669280" cy="28250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sz w:val="16"/>
        </w:rPr>
        <w:t>圖8：Micron Free Cash Flow 趨勢；FQ2'26 $6.9B 創季度紀錄。資料來源：法說會逐字稿。</w:t>
      </w:r>
    </w:p>
    <w:p>
      <w:r>
        <w:br w:type="page"/>
      </w:r>
    </w:p>
    <w:p>
      <w:pPr>
        <w:spacing w:before="160" w:after="80"/>
      </w:pPr>
      <w:r>
        <w:rPr>
          <w:b/>
          <w:color w:val="17365D"/>
          <w:sz w:val="26"/>
        </w:rPr>
        <w:t>投資論點更新  THESIS UPDATE</w:t>
      </w:r>
    </w:p>
    <w:p>
      <w:pPr>
        <w:spacing w:after="60"/>
      </w:pPr>
      <w:r>
        <w:rPr>
          <w:rFonts w:ascii="Times New Roman" w:hAnsi="Times New Roman"/>
          <w:i w:val="0"/>
          <w:sz w:val="20"/>
        </w:rPr>
        <w:t>本季財報全面強化我們的記憶體超級循環核心論點。以下四點為關鍵更新：</w:t>
      </w:r>
    </w:p>
    <w:p>
      <w:pPr>
        <w:spacing w:before="160" w:after="80"/>
      </w:pPr>
      <w:r>
        <w:rPr>
          <w:b/>
          <w:color w:val="007000"/>
          <w:sz w:val="22"/>
        </w:rPr>
        <w:t>✅ 論點強化 — 三大結構性支柱確立</w:t>
      </w:r>
    </w:p>
    <w:p>
      <w:pPr>
        <w:pStyle w:val="ListBullet"/>
      </w:pPr>
      <w:r>
        <w:rPr>
          <w:rFonts w:ascii="Times New Roman" w:hAnsi="Times New Roman"/>
          <w:sz w:val="20"/>
        </w:rPr>
        <w:t>供需緊張確認延伸至 2026 年後：DRAM/NAND 供給 2026 年各僅增 ~20%，而 AI 資料中心需求首次超過產業 TAM 50%。</w:t>
      </w:r>
    </w:p>
    <w:p>
      <w:pPr>
        <w:pStyle w:val="ListBullet"/>
      </w:pPr>
      <w:r>
        <w:rPr>
          <w:rFonts w:ascii="Times New Roman" w:hAnsi="Times New Roman"/>
          <w:sz w:val="20"/>
        </w:rPr>
        <w:t>定價能力超預期：DRAM +65%、NAND +78% 的 ASP 季增幅度，遠超週期高峰期歷史前例，顯示 AI 需求拉力非傳統週期。</w:t>
      </w:r>
    </w:p>
    <w:p>
      <w:pPr>
        <w:pStyle w:val="ListBullet"/>
      </w:pPr>
      <w:r>
        <w:rPr>
          <w:rFonts w:ascii="Times New Roman" w:hAnsi="Times New Roman"/>
          <w:sz w:val="20"/>
        </w:rPr>
        <w:t>技術護城河加深：HBM4 量產、1-gamma 最快良率爬坡、首份五年 SCA，均為競爭差異化的長期優勢。</w:t>
      </w:r>
    </w:p>
    <w:p>
      <w:pPr>
        <w:pStyle w:val="ListBullet"/>
      </w:pPr>
      <w:r>
        <w:rPr>
          <w:rFonts w:ascii="Times New Roman" w:hAnsi="Times New Roman"/>
          <w:sz w:val="20"/>
        </w:rPr>
        <w:t>財務體質歷史最強：淨現金 $6.5B 創歷史高峰，FCF $6.9B 創記錄，具備充裕的再投資與股東回報能力。</w:t>
      </w:r>
    </w:p>
    <w:p>
      <w:pPr>
        <w:spacing w:before="160" w:after="80"/>
      </w:pPr>
      <w:r>
        <w:rPr>
          <w:b/>
          <w:color w:val="C55A11"/>
          <w:sz w:val="22"/>
        </w:rPr>
        <w:t>⚠ 監控風險</w:t>
      </w:r>
    </w:p>
    <w:p>
      <w:pPr>
        <w:pStyle w:val="ListBullet"/>
      </w:pPr>
      <w:r>
        <w:rPr>
          <w:rFonts w:ascii="Times New Roman" w:hAnsi="Times New Roman"/>
          <w:sz w:val="20"/>
        </w:rPr>
        <w:t>三星 HBM4 量產進度：P4 fab 進展若提前至 2026H2，可能衝擊 HBM 定價。</w:t>
      </w:r>
    </w:p>
    <w:p>
      <w:pPr>
        <w:pStyle w:val="ListBullet"/>
      </w:pPr>
      <w:r>
        <w:rPr>
          <w:rFonts w:ascii="Times New Roman" w:hAnsi="Times New Roman"/>
          <w:sz w:val="20"/>
        </w:rPr>
        <w:t>貿易/地緣政治：FQ3 指引明確排除貿易/地緣政治影響，需密切追蹤美中關稅動態。</w:t>
      </w:r>
    </w:p>
    <w:p>
      <w:pPr>
        <w:pStyle w:val="ListBullet"/>
      </w:pPr>
      <w:r>
        <w:rPr>
          <w:rFonts w:ascii="Times New Roman" w:hAnsi="Times New Roman"/>
          <w:sz w:val="20"/>
        </w:rPr>
        <w:t>AI CapEx 週期：任一 Hyperscaler CapEx YoY 下修 &gt;10% 為尾部風險，目前尚未出現此訊號。</w:t>
      </w:r>
    </w:p>
    <w:p>
      <w:pPr>
        <w:pStyle w:val="ListBullet"/>
      </w:pPr>
      <w:r>
        <w:rPr>
          <w:rFonts w:ascii="Times New Roman" w:hAnsi="Times New Roman"/>
          <w:sz w:val="20"/>
        </w:rPr>
        <w:t>消費性終端市場弱化：PC/智慧型手機單位出貨量可能因高定價下滑兩位數，但 AI 內容升級抵銷衝擊。</w:t>
      </w:r>
    </w:p>
    <w:p>
      <w:pPr>
        <w:spacing w:before="80" w:after="80"/>
        <w:pBdr>
          <w:bottom w:val="single" w:sz="6" w:space="1" w:color="17365D"/>
        </w:pBdr>
      </w:pPr>
    </w:p>
    <w:p>
      <w:pPr>
        <w:spacing w:before="160" w:after="80"/>
      </w:pPr>
      <w:r>
        <w:rPr>
          <w:b/>
          <w:color w:val="17365D"/>
          <w:sz w:val="26"/>
        </w:rPr>
        <w:t>估值分析  VALUATION</w:t>
      </w:r>
    </w:p>
    <w:p>
      <w:pPr>
        <w:spacing w:before="160" w:after="80"/>
      </w:pPr>
      <w:r>
        <w:rPr>
          <w:b/>
          <w:color w:val="4472C4"/>
          <w:sz w:val="22"/>
        </w:rPr>
        <w:t>三情境目標價（加權法）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FY2026E EPS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PE 倍數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目標價 (US$)</w:t>
            </w:r>
          </w:p>
        </w:tc>
        <w:tc>
          <w:tcPr>
            <w:tcW w:type="dxa" w:w="1624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依據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熊市 Bear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$35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7x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$245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AI CapEx 下修 + 三星供給衝擊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基本 Base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$50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9x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$450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FQ3 指引 $19.15 + Q4 估 $22 = ~$50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牛市 Bull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$58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10x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$580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超級循環延伸 + HBM4 溢價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加權目標價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$489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= 245×20% + 450×55% + 580×25%</w:t>
            </w:r>
          </w:p>
        </w:tc>
      </w:tr>
    </w:tbl>
    <w:p>
      <w:pPr>
        <w:spacing w:after="60"/>
      </w:pPr>
      <w:r>
        <w:rPr>
          <w:rFonts w:ascii="Times New Roman" w:hAnsi="Times New Roman"/>
          <w:i w:val="0"/>
          <w:sz w:val="20"/>
        </w:rPr>
        <w:t>目標價設定 $500（取整，貼近加權計算 $489）。關鍵假設：FQ1已報 ~$5 + FQ2 $12.20 + FQ3E $19.15 + FQ4E ~$22 = FY2026E EPS ~$58；以 8.6x Forward PE（週期超級循環中段合理）推算。現價 $422.90，潛在漲幅 +18.2%。</w:t>
      </w:r>
    </w:p>
    <w:p>
      <w:pPr>
        <w:spacing w:before="80" w:after="80"/>
        <w:pBdr>
          <w:bottom w:val="single" w:sz="6" w:space="1" w:color="17365D"/>
        </w:pBdr>
      </w:pPr>
    </w:p>
    <w:p>
      <w:pPr>
        <w:spacing w:before="160" w:after="80"/>
      </w:pPr>
      <w:r>
        <w:rPr>
          <w:b/>
          <w:color w:val="17365D"/>
          <w:sz w:val="26"/>
        </w:rPr>
        <w:t>預估值更新  ESTIMATE REVISIONS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436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舊預估（FQ2 前）</w:t>
            </w:r>
          </w:p>
        </w:tc>
        <w:tc>
          <w:tcPr>
            <w:tcW w:type="dxa" w:w="2436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新預估（FQ2 後）</w:t>
            </w:r>
          </w:p>
        </w:tc>
        <w:tc>
          <w:tcPr>
            <w:tcW w:type="dxa" w:w="2436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修正幅度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FY2026 全年營收 (US$B)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$65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$90-100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+38-54%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FY2026 全年毛利率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75%+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+10pp+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FY2026 Non-GAAP EPS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$28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$55-60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+96-114%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FQ3'26 營收指引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$22.6B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$33.5B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+48%（遠超）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FQ3'26 毛利率指引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72%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81%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+9pp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FY2026 CapEx (US$B)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$20B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&gt;$25B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7000"/>
                <w:sz w:val="18"/>
              </w:rPr>
              <w:t>▲ +25%+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b/>
          <w:color w:val="17365D"/>
          <w:sz w:val="26"/>
        </w:rPr>
        <w:t>資料來源  SOURCES &amp; REFERENCES</w:t>
      </w:r>
    </w:p>
    <w:p>
      <w:pPr>
        <w:pStyle w:val="ListBullet"/>
      </w:pPr>
      <w:r>
        <w:rPr>
          <w:rFonts w:ascii="Times New Roman" w:hAnsi="Times New Roman"/>
          <w:sz w:val="18"/>
        </w:rPr>
        <w:t>Micron FQ2 2026 法說會逐字稿（2026/03/18）— 本地文件：Micron_2026Q2_逐字稿.txt</w:t>
      </w:r>
    </w:p>
    <w:p>
      <w:pPr>
        <w:pStyle w:val="ListBullet"/>
      </w:pPr>
      <w:r>
        <w:rPr>
          <w:rFonts w:ascii="Times New Roman" w:hAnsi="Times New Roman"/>
          <w:sz w:val="18"/>
        </w:rPr>
        <w:t>FQ2 2026 Earnings Press Release — https://investors.micron.com</w:t>
      </w:r>
    </w:p>
    <w:p>
      <w:pPr>
        <w:pStyle w:val="ListBullet"/>
      </w:pPr>
      <w:r>
        <w:rPr>
          <w:rFonts w:ascii="Times New Roman" w:hAnsi="Times New Roman"/>
          <w:sz w:val="18"/>
        </w:rPr>
        <w:t>Form 10-Q FQ2 2026（Filed ~2026/04）— SEC EDGAR: https://www.sec.gov/cgi-bin/browse-edgar?action=getcompany&amp;CIK=MU</w:t>
      </w:r>
    </w:p>
    <w:p>
      <w:pPr>
        <w:pStyle w:val="ListBullet"/>
      </w:pPr>
      <w:r>
        <w:rPr>
          <w:rFonts w:ascii="Times New Roman" w:hAnsi="Times New Roman"/>
          <w:sz w:val="18"/>
        </w:rPr>
        <w:t>FQ2 2026 Earnings Call: Micron Q2 2026 slides — https://www.investing.com/news/company-news/micron-q2-2026-slides-ai-demand-drives-record-239b-revenue</w:t>
      </w:r>
    </w:p>
    <w:p>
      <w:pPr>
        <w:pStyle w:val="ListBullet"/>
      </w:pPr>
      <w:r>
        <w:rPr>
          <w:rFonts w:ascii="Times New Roman" w:hAnsi="Times New Roman"/>
          <w:sz w:val="18"/>
        </w:rPr>
        <w:t>Futurum Research: Micron Q2 FY2026 Earnings — https://futurumgroup.com/insights/micron-q2-fy-2026-earnings-driven-by-ai-led-memory-demand/</w:t>
      </w:r>
    </w:p>
    <w:p>
      <w:pPr>
        <w:pStyle w:val="ListBullet"/>
      </w:pPr>
      <w:r>
        <w:rPr>
          <w:rFonts w:ascii="Times New Roman" w:hAnsi="Times New Roman"/>
          <w:sz w:val="18"/>
        </w:rPr>
        <w:t>StockAnalysis MU Statistics — https://stockanalysis.com/stocks/mu/statistics/</w:t>
      </w:r>
    </w:p>
    <w:p>
      <w:pPr>
        <w:pStyle w:val="ListBullet"/>
      </w:pPr>
      <w:r>
        <w:rPr>
          <w:rFonts w:ascii="Times New Roman" w:hAnsi="Times New Roman"/>
          <w:sz w:val="18"/>
        </w:rPr>
        <w:t>法人共識：Bloomberg Terminal 截至 2026/03/17；EPS 共識 $8.79，Revenue $19.19B</w:t>
      </w:r>
    </w:p>
    <w:p>
      <w:pPr>
        <w:pStyle w:val="ListBullet"/>
      </w:pPr>
      <w:r>
        <w:rPr>
          <w:rFonts w:ascii="Times New Roman" w:hAnsi="Times New Roman"/>
          <w:sz w:val="18"/>
        </w:rPr>
        <w:t>股價 $422.90 截至 2026/03/20 NASDAQ 收盤</w:t>
      </w:r>
    </w:p>
    <w:p>
      <w:pPr>
        <w:spacing w:after="60"/>
      </w:pPr>
      <w:r>
        <w:rPr>
          <w:rFonts w:ascii="Times New Roman" w:hAnsi="Times New Roman"/>
          <w:i/>
          <w:sz w:val="16"/>
        </w:rPr>
        <w:t>免責聲明：本報告僅供個人投資研究參考，非正式投資建議。所有預估值（標記「E」或「e」）為分析師預測，實際結果可能存在重大差異。對美股 MU 的估值建議以美元計，匯率風險請自行評估。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