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7365D"/>
          <w:sz w:val="44"/>
        </w:rPr>
        <w:t>華邦電子（2344.TW）</w:t>
      </w:r>
    </w:p>
    <w:p>
      <w:pPr>
        <w:jc w:val="center"/>
      </w:pPr>
      <w:r>
        <w:rPr>
          <w:rFonts w:ascii="Times New Roman" w:hAnsi="Times New Roman"/>
          <w:b/>
          <w:color w:val="595959"/>
          <w:sz w:val="28"/>
        </w:rPr>
        <w:t>2025 年第四季財報更新報告  |  Q4 2025 Earnings Update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投資評等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▲ 買進 (Buy)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目標價格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NT$135（上調自 NT$100）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現時股價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NT$110（2026/03/20）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潛在漲幅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+22.7%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報告日期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2026年3月22日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分析師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台灣科技股研究團隊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分析基準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Q4 2025 自結財報 + 4Q25 法說會簡報</w:t>
            </w:r>
          </w:p>
        </w:tc>
      </w:tr>
    </w:tbl>
    <w:p/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核心要點  KEY TAKEAWAYS</w:t>
      </w:r>
    </w:p>
    <w:p>
      <w:pPr>
        <w:pStyle w:val="ListBullet"/>
      </w:pPr>
      <w:r>
        <w:rPr>
          <w:rFonts w:ascii="Times New Roman" w:hAnsi="Times New Roman"/>
          <w:sz w:val="20"/>
        </w:rPr>
        <w:t>【超預期】Q4 EPS NT$0.76 大幅超越法人共識 NT$0.55，季增 17%，創 14 季新高。</w:t>
      </w:r>
    </w:p>
    <w:p>
      <w:pPr>
        <w:pStyle w:val="ListBullet"/>
      </w:pPr>
      <w:r>
        <w:rPr>
          <w:rFonts w:ascii="Times New Roman" w:hAnsi="Times New Roman"/>
          <w:sz w:val="20"/>
        </w:rPr>
        <w:t>【毛利率正常化】Q4 合并毛利率 41.9%（Q3 46.7% 含存貨回沖利益），純記憶體段落更高；Q1 2026 指引 &gt;46.9%，升勢確立。</w:t>
      </w:r>
    </w:p>
    <w:p>
      <w:pPr>
        <w:pStyle w:val="ListBullet"/>
      </w:pPr>
      <w:r>
        <w:rPr>
          <w:rFonts w:ascii="Times New Roman" w:hAnsi="Times New Roman"/>
          <w:sz w:val="20"/>
        </w:rPr>
        <w:t>【DRAM 超級定價】本季 DDR4/LPDDR4 報價季增 90-95%；管理層預估 2026 年中報價將達去年底 4 倍水準。</w:t>
      </w:r>
    </w:p>
    <w:p>
      <w:pPr>
        <w:pStyle w:val="ListBullet"/>
      </w:pPr>
      <w:r>
        <w:rPr>
          <w:rFonts w:ascii="Times New Roman" w:hAnsi="Times New Roman"/>
          <w:sz w:val="20"/>
        </w:rPr>
        <w:t>【CapEx 創歷史紀錄】2026 年資本支出上調至 NT$421 億（較 2025 年實際 NT$134 億大增 214%），95% 用於生產設備。</w:t>
      </w:r>
    </w:p>
    <w:p>
      <w:pPr>
        <w:pStyle w:val="ListBullet"/>
      </w:pPr>
      <w:r>
        <w:rPr>
          <w:rFonts w:ascii="Times New Roman" w:hAnsi="Times New Roman"/>
          <w:sz w:val="20"/>
        </w:rPr>
        <w:t>【產能全數售出】2026/2027 年全年產能已悉數預訂，DRAM 供給結構性缺貨格局確認。</w:t>
      </w:r>
    </w:p>
    <w:p>
      <w:pPr>
        <w:pStyle w:val="ListBullet"/>
      </w:pPr>
      <w:r>
        <w:rPr>
          <w:rFonts w:ascii="Times New Roman" w:hAnsi="Times New Roman"/>
          <w:sz w:val="20"/>
        </w:rPr>
        <w:t>【估值重估上修目標價】基於 2026E EPS NT$7.5（Bull Case）× 18x Forward PE，上調目標價至 NT$135。</w:t>
      </w:r>
    </w:p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財報快覽  RESULTS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財務指標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Q4 2025 實際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法人共識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超/低預期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QoQ 變化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YoY 變化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合并營收 (NT$億)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266.25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~235e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+13.3%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+22.3%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+42.4%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合并毛利率 (%)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41.9%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~40%e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略超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- 4.8pp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+15.4pp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營業利益率 (%)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15.4%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~12%e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超預期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+9.4pp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+15.8pp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稅後淨利 (NT$億)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34.22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~25e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+36.9%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+479%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+4070%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每股盈餘 EPS (NT$)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0.76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0.55e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+38.2%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+17.0%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扭虧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全年 EPS (NT$)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0.88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+22.2%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+529%</w:t>
            </w:r>
          </w:p>
        </w:tc>
      </w:tr>
    </w:tbl>
    <w:p>
      <w:pPr>
        <w:spacing w:after="60"/>
      </w:pPr>
      <w:r>
        <w:rPr>
          <w:rFonts w:ascii="Times New Roman" w:hAnsi="Times New Roman"/>
          <w:i/>
          <w:sz w:val="16"/>
        </w:rPr>
        <w:t>資料來源：4Q25 法說會簡報（2026/02/10）；法人共識為彭博估計均值。</w:t>
      </w:r>
    </w:p>
    <w:p/>
    <w:p>
      <w:pPr>
        <w:spacing w:before="160" w:after="80"/>
      </w:pPr>
      <w:r>
        <w:rPr>
          <w:b/>
          <w:color w:val="4472C4"/>
          <w:sz w:val="24"/>
        </w:rPr>
        <w:t>季度營收與獲利趨勢</w:t>
      </w:r>
    </w:p>
    <w:p>
      <w:r>
        <w:drawing>
          <wp:inline xmlns:a="http://schemas.openxmlformats.org/drawingml/2006/main" xmlns:pic="http://schemas.openxmlformats.org/drawingml/2006/picture">
            <wp:extent cx="5669280" cy="2798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圖1：華邦電季度合并營收（NT$億）；Q1'26E 基於月營收年增 88% 推算。資料來源：公司財報、法說會。</w:t>
      </w:r>
    </w:p>
    <w:p>
      <w:r>
        <w:drawing>
          <wp:inline xmlns:a="http://schemas.openxmlformats.org/drawingml/2006/main" xmlns:pic="http://schemas.openxmlformats.org/drawingml/2006/picture">
            <wp:extent cx="5669280" cy="2798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圖2：季度 EPS（NT$）；FY2025 全年 EPS NT$0.88，年增 529%。資料來源：公司財報。</w:t>
      </w:r>
    </w:p>
    <w:p/>
    <w:p>
      <w:pPr>
        <w:spacing w:before="160" w:after="80"/>
      </w:pPr>
      <w:r>
        <w:rPr>
          <w:b/>
          <w:color w:val="4472C4"/>
          <w:sz w:val="24"/>
        </w:rPr>
        <w:t>毛利率趨勢與定價環境</w:t>
      </w:r>
    </w:p>
    <w:p>
      <w:r>
        <w:drawing>
          <wp:inline xmlns:a="http://schemas.openxmlformats.org/drawingml/2006/main" xmlns:pic="http://schemas.openxmlformats.org/drawingml/2006/picture">
            <wp:extent cx="5669280" cy="2798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圖3：合并毛利率趨勢；Q3 含存貨回沖利益，Q4 正常化後仍達 41.9%。Q1'26E &gt;46.9%。資料來源：公司財報。</w:t>
      </w:r>
    </w:p>
    <w:p>
      <w:r>
        <w:drawing>
          <wp:inline xmlns:a="http://schemas.openxmlformats.org/drawingml/2006/main" xmlns:pic="http://schemas.openxmlformats.org/drawingml/2006/picture">
            <wp:extent cx="5669280" cy="2798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圖4：Specialty DRAM ASP 走勢指數（Q2'25=100）；Q1'26 DDR4 合約價季增 ~100%。資料來源：法說會。</w:t>
      </w:r>
    </w:p>
    <w:p>
      <w:r>
        <w:br w:type="page"/>
      </w:r>
    </w:p>
    <w:p>
      <w:pPr>
        <w:spacing w:before="160" w:after="80"/>
      </w:pPr>
      <w:r>
        <w:rPr>
          <w:b/>
          <w:color w:val="17365D"/>
          <w:sz w:val="26"/>
        </w:rPr>
        <w:t>業務部門分析  SEGMENT ANALYSIS</w:t>
      </w:r>
    </w:p>
    <w:p>
      <w:pPr>
        <w:spacing w:before="160" w:after="80"/>
      </w:pPr>
      <w:r>
        <w:rPr>
          <w:b/>
          <w:color w:val="4472C4"/>
          <w:sz w:val="22"/>
        </w:rPr>
        <w:t>① Specialty DRAM（CMS）— 核心成長驅動</w:t>
      </w:r>
    </w:p>
    <w:p>
      <w:pPr>
        <w:spacing w:after="60"/>
      </w:pPr>
      <w:r>
        <w:rPr>
          <w:rFonts w:ascii="Times New Roman" w:hAnsi="Times New Roman"/>
          <w:i w:val="0"/>
          <w:sz w:val="20"/>
        </w:rPr>
        <w:t>2025 全年 CMS 營收年增 139%，位元出貨量翻倍，遠超預期。20 奈米製程產品營收佔比持續提升，帶動 ASP 與毛利率同步改善。4Q25 DDR4 合約價季增 ~100%，1Q26 累計漲幅估計超過 100%，整體 DRAM 報價預計在 2026 年中達 2025 年底 4 倍。供需方面，2026/2027 年全年產能均已完售，結構性缺貨格局確立。</w:t>
      </w:r>
    </w:p>
    <w:p>
      <w:pPr>
        <w:spacing w:before="160" w:after="80"/>
      </w:pPr>
      <w:r>
        <w:rPr>
          <w:b/>
          <w:color w:val="4472C4"/>
          <w:sz w:val="22"/>
        </w:rPr>
        <w:t>② NOR Flash — 穩健成長，汽車工業需求帶動</w:t>
      </w:r>
    </w:p>
    <w:p>
      <w:pPr>
        <w:spacing w:after="60"/>
      </w:pPr>
      <w:r>
        <w:rPr>
          <w:rFonts w:ascii="Times New Roman" w:hAnsi="Times New Roman"/>
          <w:i w:val="0"/>
          <w:sz w:val="20"/>
        </w:rPr>
        <w:t>2025 年 NOR Flash 營收年增 8%，位元出貨量兩位數成長。受惠汽車（ADAS）、工業自動化、嵌入式系統需求強勁，平均售價穩定。台中廠追加 NT$24 億設備採購以擴充 NOR Flash 產能（500K → 570-580K 片/月）。全球最大 NOR Flash 供應商地位持續鞏固。</w:t>
      </w:r>
    </w:p>
    <w:p>
      <w:r>
        <w:drawing>
          <wp:inline xmlns:a="http://schemas.openxmlformats.org/drawingml/2006/main" xmlns:pic="http://schemas.openxmlformats.org/drawingml/2006/picture">
            <wp:extent cx="5029200" cy="4294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4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圖5：FY2025 營收結構估計（DRAM 55%、NOR Flash 39%）。資料來源：法說會。</w:t>
      </w:r>
    </w:p>
    <w:p/>
    <w:p>
      <w:pPr>
        <w:spacing w:before="160" w:after="80"/>
      </w:pPr>
      <w:r>
        <w:rPr>
          <w:b/>
          <w:color w:val="17365D"/>
          <w:sz w:val="26"/>
        </w:rPr>
        <w:t>展望與指引  GUIDANCE &amp; OUTLOOK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展望項目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2025 Q4 實際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2026 Q1 指引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2026 全年展望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合并毛利率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41.9%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&gt;46.9%（管理層指引）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50%+ 可期（定價維持強勢）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DRAM 報價漲幅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+90-95% QoQ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相近漲幅（管理層預期）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2026 年中達 4x 底部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產能利用率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滿載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滿載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2026/2027 全年售出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資本支出 (NT$億)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134（全年實際）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421（2026 年計畫）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股利 (NT$/股)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配息 NT$0.5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配息比率可望提升</w:t>
            </w:r>
          </w:p>
        </w:tc>
      </w:tr>
    </w:tbl>
    <w:p>
      <w:pPr>
        <w:spacing w:after="60"/>
      </w:pPr>
      <w:r>
        <w:rPr>
          <w:rFonts w:ascii="Times New Roman" w:hAnsi="Times New Roman"/>
          <w:i/>
          <w:sz w:val="16"/>
        </w:rPr>
        <w:t>資料來源：4Q25 法說會（2026/02/10）。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8432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圖6：2026年資本支出計畫 NT$421億，95% 用於生產設備擴產。資料來源：4Q25 法說會。</w:t>
      </w:r>
    </w:p>
    <w:p>
      <w:r>
        <w:br w:type="page"/>
      </w:r>
    </w:p>
    <w:p>
      <w:pPr>
        <w:spacing w:before="160" w:after="80"/>
      </w:pPr>
      <w:r>
        <w:rPr>
          <w:b/>
          <w:color w:val="17365D"/>
          <w:sz w:val="26"/>
        </w:rPr>
        <w:t>投資論點更新  THESIS UPDATE</w:t>
      </w:r>
    </w:p>
    <w:p>
      <w:pPr>
        <w:spacing w:after="60"/>
      </w:pPr>
      <w:r>
        <w:rPr>
          <w:rFonts w:ascii="Times New Roman" w:hAnsi="Times New Roman"/>
          <w:i w:val="0"/>
          <w:sz w:val="20"/>
        </w:rPr>
        <w:t>本季財報強化我們對華邦電 Specialty DRAM 超級循環的核心論點。三項關鍵更新如下：</w:t>
      </w:r>
    </w:p>
    <w:p>
      <w:pPr>
        <w:spacing w:before="160" w:after="80"/>
      </w:pPr>
      <w:r>
        <w:rPr>
          <w:b/>
          <w:color w:val="007000"/>
          <w:sz w:val="22"/>
        </w:rPr>
        <w:t>✅ 正面更新</w:t>
      </w:r>
    </w:p>
    <w:p>
      <w:pPr>
        <w:pStyle w:val="ListBullet"/>
      </w:pPr>
      <w:r>
        <w:rPr>
          <w:rFonts w:ascii="Times New Roman" w:hAnsi="Times New Roman"/>
          <w:sz w:val="20"/>
        </w:rPr>
        <w:t>DRAM 定價力道遠超預期：90-95% 季增印證了 Specialty DDR4/LPDDR4 的結構性缺貨，非暫時性定價。</w:t>
      </w:r>
    </w:p>
    <w:p>
      <w:pPr>
        <w:pStyle w:val="ListBullet"/>
      </w:pPr>
      <w:r>
        <w:rPr>
          <w:rFonts w:ascii="Times New Roman" w:hAnsi="Times New Roman"/>
          <w:sz w:val="20"/>
        </w:rPr>
        <w:t>管理層前瞻性措辭轉為積極：「2026/2027 產能悉數售出」的明確表態，是超級循環早期的典型訊號。</w:t>
      </w:r>
    </w:p>
    <w:p>
      <w:pPr>
        <w:pStyle w:val="ListBullet"/>
      </w:pPr>
      <w:r>
        <w:rPr>
          <w:rFonts w:ascii="Times New Roman" w:hAnsi="Times New Roman"/>
          <w:sz w:val="20"/>
        </w:rPr>
        <w:t>CapEx 大幅躍升至 NT$421 億：顯示管理層對多年需求的信心，資本紀律良好（95% 用於生產設備）。</w:t>
      </w:r>
    </w:p>
    <w:p>
      <w:pPr>
        <w:pStyle w:val="ListBullet"/>
      </w:pPr>
      <w:r>
        <w:rPr>
          <w:rFonts w:ascii="Times New Roman" w:hAnsi="Times New Roman"/>
          <w:sz w:val="20"/>
        </w:rPr>
        <w:t>記憶體段落毛利率（&gt;41.9% 合并，記憶體段落更高）持續改善，Nuvoton 稀釋效應相對減少。</w:t>
      </w:r>
    </w:p>
    <w:p>
      <w:pPr>
        <w:spacing w:before="160" w:after="80"/>
      </w:pPr>
      <w:r>
        <w:rPr>
          <w:b/>
          <w:color w:val="C55A11"/>
          <w:sz w:val="22"/>
        </w:rPr>
        <w:t>⚠ 需關注風險</w:t>
      </w:r>
    </w:p>
    <w:p>
      <w:pPr>
        <w:pStyle w:val="ListBullet"/>
      </w:pPr>
      <w:r>
        <w:rPr>
          <w:rFonts w:ascii="Times New Roman" w:hAnsi="Times New Roman"/>
          <w:sz w:val="20"/>
        </w:rPr>
        <w:t>估值偏高：Forward PE 23.9x（Bloomberg 共識 4.6E）為四大同業中最貴，需靠獲利成長支撐。</w:t>
      </w:r>
    </w:p>
    <w:p>
      <w:pPr>
        <w:pStyle w:val="ListBullet"/>
      </w:pPr>
      <w:r>
        <w:rPr>
          <w:rFonts w:ascii="Times New Roman" w:hAnsi="Times New Roman"/>
          <w:sz w:val="20"/>
        </w:rPr>
        <w:t>Nuvoton 稀釋持續：合并毛利率被子公司稀釋 ~9pp，純記憶體段落需分段建模。</w:t>
      </w:r>
    </w:p>
    <w:p>
      <w:pPr>
        <w:pStyle w:val="ListBullet"/>
      </w:pPr>
      <w:r>
        <w:rPr>
          <w:rFonts w:ascii="Times New Roman" w:hAnsi="Times New Roman"/>
          <w:sz w:val="20"/>
        </w:rPr>
        <w:t>CXMT 競爭風險：Specialty DDR3/DDR4 市場中國製造商滲透加速，長期定價能力受挑戰。</w:t>
      </w:r>
    </w:p>
    <w:p>
      <w:pPr>
        <w:pStyle w:val="ListBullet"/>
      </w:pPr>
      <w:r>
        <w:rPr>
          <w:rFonts w:ascii="Times New Roman" w:hAnsi="Times New Roman"/>
          <w:sz w:val="20"/>
        </w:rPr>
        <w:t>AI CapEx 週期敏感：若任一 Hyperscaler CapEx 指引 YoY 下修 &gt;10%，需求預測需修正。</w:t>
      </w:r>
    </w:p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估值分析  VALUATION</w:t>
      </w:r>
    </w:p>
    <w:p>
      <w:pPr>
        <w:spacing w:before="160" w:after="80"/>
      </w:pPr>
      <w:r>
        <w:rPr>
          <w:b/>
          <w:color w:val="4472C4"/>
          <w:sz w:val="22"/>
        </w:rPr>
        <w:t>三情境目標價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2026E EPS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PE 倍數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目標價 (NT$)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依據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熊市 Bear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NT$3.5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14x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NT$49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CXMT 侵蝕 + AI CapEx 下修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基本 Base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NT$6.3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16x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NT$101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JPMorgan 共識；週期延續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牛市 Bull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NT$7.5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18x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NT$135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報價超預期 + 純記憶體溢價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加權目標價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NT$108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= 49×20% + 101×55% + 135×25%</w:t>
            </w:r>
          </w:p>
        </w:tc>
      </w:tr>
    </w:tbl>
    <w:p>
      <w:pPr>
        <w:spacing w:after="60"/>
      </w:pPr>
      <w:r>
        <w:rPr>
          <w:rFonts w:ascii="Times New Roman" w:hAnsi="Times New Roman"/>
          <w:i w:val="0"/>
          <w:sz w:val="20"/>
        </w:rPr>
        <w:t>本報告目標價採用牛市情境 NT$135（+23%），理由：Q4 2025 EPS 超預期幅度顯示 2026E EPS 向 NT$7-8 修正的概率已提升，週期加速指標（報價、產能利用率、指引措辭）均已轉向積極。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986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圖7：記憶體同業 2026E Forward P/E 比較；華邦電 23.9x 為四家最高。資料來源：Bloomberg 共識。</w:t>
      </w:r>
    </w:p>
    <w:p>
      <w:r>
        <w:drawing>
          <wp:inline xmlns:a="http://schemas.openxmlformats.org/drawingml/2006/main" xmlns:pic="http://schemas.openxmlformats.org/drawingml/2006/picture">
            <wp:extent cx="5669280" cy="27963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圖8：Q4 2025 實際 vs 法人共識對比；EPS 超預期 38%。資料來源：公司財報、Bloomberg。</w:t>
      </w:r>
    </w:p>
    <w:p>
      <w:r>
        <w:br w:type="page"/>
      </w:r>
    </w:p>
    <w:p>
      <w:pPr>
        <w:spacing w:before="160" w:after="80"/>
      </w:pPr>
      <w:r>
        <w:rPr>
          <w:b/>
          <w:color w:val="17365D"/>
          <w:sz w:val="26"/>
        </w:rPr>
        <w:t>預估值更新  ESTIMATE REVISIONS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舊 2026E 預估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新 2026E 預估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修正幅度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全年營收 (NT$億)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1,050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1,400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+33%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合并毛利率 (%)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50%+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+8pp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EPS (NT$)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4.6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6.3-7.5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+37-63%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資本支出 (NT$億)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+40%</w:t>
            </w:r>
          </w:p>
        </w:tc>
      </w:tr>
    </w:tbl>
    <w:p>
      <w:pPr>
        <w:spacing w:after="60"/>
      </w:pPr>
      <w:r>
        <w:rPr>
          <w:rFonts w:ascii="Times New Roman" w:hAnsi="Times New Roman"/>
          <w:i w:val="0"/>
          <w:sz w:val="20"/>
        </w:rPr>
        <w:t>修正理由：Q4 2025 DRAM 報價加速（+90-95% QoQ）顯示 2026 年全年 ASP 上升幅度超出原始預估；加之 2026/2027 年產能全部售出確認，EPS 預估上修至 NT$6.3-7.5 區間。</w:t>
      </w:r>
    </w:p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資料來源  SOURCES &amp; REFERENCES</w:t>
      </w:r>
    </w:p>
    <w:p>
      <w:pPr>
        <w:pStyle w:val="ListBullet"/>
      </w:pPr>
      <w:r>
        <w:rPr>
          <w:rFonts w:ascii="Times New Roman" w:hAnsi="Times New Roman"/>
          <w:sz w:val="18"/>
        </w:rPr>
        <w:t>4Q25 &amp; FY2025 法人說明會簡報（2026/02/10）— https://www.winbond.com/hq/about-winbond/investor/investor-conference/</w:t>
      </w:r>
    </w:p>
    <w:p>
      <w:pPr>
        <w:pStyle w:val="ListBullet"/>
      </w:pPr>
      <w:r>
        <w:rPr>
          <w:rFonts w:ascii="Times New Roman" w:hAnsi="Times New Roman"/>
          <w:sz w:val="18"/>
        </w:rPr>
        <w:t>Q4 2025 合并財務報告（自結）— 公開資訊觀測站 MOPS: https://mops.twse.com.tw</w:t>
      </w:r>
    </w:p>
    <w:p>
      <w:pPr>
        <w:pStyle w:val="ListBullet"/>
      </w:pPr>
      <w:r>
        <w:rPr>
          <w:rFonts w:ascii="Times New Roman" w:hAnsi="Times New Roman"/>
          <w:sz w:val="18"/>
        </w:rPr>
        <w:t>財報狗 2344 EPS 分析 — https://statementdog.com/analysis/2344/eps</w:t>
      </w:r>
    </w:p>
    <w:p>
      <w:pPr>
        <w:pStyle w:val="ListBullet"/>
      </w:pPr>
      <w:r>
        <w:rPr>
          <w:rFonts w:ascii="Times New Roman" w:hAnsi="Times New Roman"/>
          <w:sz w:val="18"/>
        </w:rPr>
        <w:t>StockFeel 4Q25 法說會重點 — https://www.stockfeel.com.tw</w:t>
      </w:r>
    </w:p>
    <w:p>
      <w:pPr>
        <w:pStyle w:val="ListBullet"/>
      </w:pPr>
      <w:r>
        <w:rPr>
          <w:rFonts w:ascii="Times New Roman" w:hAnsi="Times New Roman"/>
          <w:sz w:val="18"/>
        </w:rPr>
        <w:t>TechNews 科技新報 (2026/02/11) — https://finance.technews.tw</w:t>
      </w:r>
    </w:p>
    <w:p>
      <w:pPr>
        <w:pStyle w:val="ListBullet"/>
      </w:pPr>
      <w:r>
        <w:rPr>
          <w:rFonts w:ascii="Times New Roman" w:hAnsi="Times New Roman"/>
          <w:sz w:val="18"/>
        </w:rPr>
        <w:t>法人目標價參考：摩根大通（NT$83）、群益投顧（NT$120.3）；Bloomberg 共識 2026E EPS NT$4.6</w:t>
      </w:r>
    </w:p>
    <w:p>
      <w:pPr>
        <w:pStyle w:val="ListBullet"/>
      </w:pPr>
      <w:r>
        <w:rPr>
          <w:rFonts w:ascii="Times New Roman" w:hAnsi="Times New Roman"/>
          <w:sz w:val="18"/>
        </w:rPr>
        <w:t>股價 NT$110 截至 2026/03/20 收盤</w:t>
      </w:r>
    </w:p>
    <w:p>
      <w:pPr>
        <w:spacing w:after="60"/>
      </w:pPr>
      <w:r>
        <w:rPr>
          <w:rFonts w:ascii="Times New Roman" w:hAnsi="Times New Roman"/>
          <w:i/>
          <w:sz w:val="16"/>
        </w:rPr>
        <w:t>免責聲明：本報告僅供個人投資研究參考，非正式投資建議。所有財務數據標記「e」或「估」者為估計值，尚未經會計師查核之自結數字可能與最終審計結果存在差異。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