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2.1.3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(approximately 13 MB, no GPU runtime). The first run installs it: the tool asks once, downloads it, checks that it loads, and then starts the batch.</w:t>
      </w:r>
    </w:p>
    <w:p>
      <w:r>
        <w:t>A dry run needs it too, because a dry run measures with the model - that measurement is the point of it. A headless run installs the suite's 'ml' extra instead (uv sync --extra ml).</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installing RNNoise: </w:t>
      </w:r>
      <w:r>
        <w:t>The first run offers the one-time download; accepting it installs RNNoise and starts the batch. A download that fails says why in the dialog.</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