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2.0 — September 2026</w:t>
      </w:r>
    </w:p>
    <w:p>
      <w:pPr>
        <w:pStyle w:val="Heading1"/>
      </w:pPr>
      <w:r>
        <w:t>Overview</w:t>
      </w:r>
    </w:p>
    <w:p>
      <w:r>
        <w:t>Lyrics Manager scans a directory of audio files, fetches synced lyrics from a remote source,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The default is lrclib.</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4.</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--json</w:t>
      </w:r>
    </w:p>
    <w:p>
      <w:r>
        <w:t>Options mirror the Setup tab: --provider,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