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F&amp;I Sales Department Performance Analysis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Dealership: 02002TEST_ABC-Moto</w:t>
      </w:r>
    </w:p>
    <w:p>
      <w:pPr>
        <w:spacing w:after="120"/>
        <w:jc w:val="center"/>
      </w:pPr>
      <w:r>
        <w:rPr>
          <w:sz w:val="22"/>
          <w:szCs w:val="22"/>
        </w:rPr>
        <w:t xml:space="preserve">Period: November 2024 to October 2025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Report Date: December 14, 2025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report analyzes the Finance &amp; Insurance (F&amp;I) Sales department performance for 02002TEST_ABC-Moto. The F&amp;I department performance is directly influenced by new and used ABC motorcycle unit sales, which totaled 145 ABC units (88 new + 57 used) during this period. The analysis compares current performance against C-Class averages and ABC-Moto national benchmarks. Note that this dealership's first full reporting period has no year-over-year comparison data available.</w:t>
      </w:r>
    </w:p>
    <w:p>
      <w:pPr>
        <w:spacing w:after="200"/>
      </w:pPr>
      <w:r>
        <w:t xml:space="preserve">The F&amp;I department demonstrates exceptional strength in Retail Finance Product Penetration (72.4%) and solid ESP Penetration (46.9%), both meeting or exceeding benchmark standards. However, Life &amp; Disability Insurance Penetration presents a significant opportunity for improvement at only 0.95%, substantially below the benchmark minimum of 20%.</w:t>
      </w:r>
    </w:p>
    <w:p>
      <w:pPr>
        <w:pStyle w:val="Heading1"/>
      </w:pPr>
      <w:r>
        <w:t xml:space="preserve">Detailed Performance Analysis</w:t>
      </w:r>
    </w:p>
    <w:p>
      <w:pPr>
        <w:pStyle w:val="Heading2"/>
      </w:pPr>
      <w:r>
        <w:t xml:space="preserve">1. Total Finance &amp; Insurance Sales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$480,515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$437,144 (109.9%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$724,553 (66.3%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Total F&amp;I sales exceed C-Class average by 9.9%, demonstrating solid performance relative to peer group despite current market headwinds. However, performance remains below national average (66.3%), reflecting the size differential between C-Class and larger volume dealerships. Sales are directly tied to the 173 total units retailed (145 ABC + 28 non-ABC).</w:t>
      </w:r>
    </w:p>
    <w:p>
      <w:pPr>
        <w:pStyle w:val="Heading2"/>
      </w:pPr>
      <w:r>
        <w:t xml:space="preserve">2. F&amp;I Gross Profit Per Total Units Retailed (PTUR)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$1,949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$2,034 (95.8%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$1,610 (121.1%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PTUR is slightly below C-Class average at 95.8% but significantly outperforms national average by 21.1%. This indicates strong per-transaction profitability. The dealership is extracting excellent F&amp;I value from each unit sale.</w:t>
      </w:r>
    </w:p>
    <w:p>
      <w:pPr>
        <w:pStyle w:val="Heading2"/>
      </w:pPr>
      <w:r>
        <w:t xml:space="preserve">3. ABCFS F&amp;I Income Per New &amp; Used ABC MC Retailed (PNUHMR)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$2,762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$3,187 (86.6%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$2,425 (113.9%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F&amp;I income per ABC motorcycle is 13.4% below C-Class average but 13.9% above national average. Based on 145 ABC units sold, there is opportunity to increase F&amp;I income per unit to match class peers. The dealership should review F&amp;I menu presentation and product bundling strategies.</w:t>
      </w:r>
    </w:p>
    <w:p>
      <w:pPr>
        <w:pStyle w:val="Heading2"/>
      </w:pPr>
      <w:r>
        <w:t xml:space="preserve">4. ABCFS F&amp;I Gross Profit Per New &amp; Used ABC MC Retailed (PNUHMR)</w:t>
      </w:r>
    </w:p>
    <w:p>
      <w:pPr>
        <w:spacing w:after="80"/>
      </w:pPr>
      <w:r>
        <w:rPr>
          <w:b/>
          <w:bCs/>
        </w:rPr>
        <w:t xml:space="preserve">Current Year: </w:t>
      </w:r>
      <w:r>
        <w:t xml:space="preserve">$1,942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$2,202 (88.2%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$1,488 (130.5% of national)</w:t>
      </w:r>
    </w:p>
    <w:p>
      <w:pPr>
        <w:spacing w:after="200"/>
      </w:pPr>
      <w:r>
        <w:rPr>
          <w:b/>
          <w:bCs/>
        </w:rPr>
        <w:t xml:space="preserve">Assessment: </w:t>
      </w:r>
      <w:r>
        <w:t xml:space="preserve">F&amp;I gross profit per ABC unit is 11.8% below C-Class average but an excellent 30.5% above national average. This demonstrates strong profitability execution, generating approximately $281,600 in total ABC F&amp;I gross profit from 145 units.</w:t>
      </w:r>
    </w:p>
    <w:p>
      <w:pPr>
        <w:pStyle w:val="Heading2"/>
      </w:pPr>
      <w:r>
        <w:t xml:space="preserve">5. ABCFS ESP Penetration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46.90%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44.45% (105.5%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46.87% (100.1%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45.0% minimum to 60.0% maximum</w:t>
      </w:r>
    </w:p>
    <w:p>
      <w:pPr>
        <w:spacing w:after="200"/>
      </w:pPr>
      <w:r>
        <w:rPr>
          <w:b/>
          <w:bCs/>
          <w:color w:val="2E7D32"/>
        </w:rPr>
        <w:t xml:space="preserve">Assessment: GOOD. </w:t>
      </w:r>
      <w:r>
        <w:t xml:space="preserve">ESP penetration is within benchmark range at 46.9%, exceeding benchmark minimum by 1.9 percentage points. Performance is 5.5% above C-Class and in line with national average. Continue current ESP sales processes while targeting the 60% benchmark maximum.</w:t>
      </w:r>
    </w:p>
    <w:p>
      <w:pPr>
        <w:pStyle w:val="Heading2"/>
      </w:pPr>
      <w:r>
        <w:t xml:space="preserve">6. ABCFS Retail Finance Product Penetration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72.41%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46.74% (154.9%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54.17% (133.7%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45.0% minimum to 60.0% maximum</w:t>
      </w:r>
    </w:p>
    <w:p>
      <w:pPr>
        <w:spacing w:after="200"/>
      </w:pPr>
      <w:r>
        <w:rPr>
          <w:b/>
          <w:bCs/>
          <w:color w:val="2E7D32"/>
        </w:rPr>
        <w:t xml:space="preserve">Assessment: EXCELLENT. </w:t>
      </w:r>
      <w:r>
        <w:t xml:space="preserve">Retail Finance penetration is exceptional at 72.4%, exceeding the benchmark maximum by 12.4 percentage points. Performance is 54.9% above C-Class and 33.7% above national average. This is a significant strength demonstrating outstanding F&amp;I team effectiveness in retail financing.</w:t>
      </w:r>
    </w:p>
    <w:p>
      <w:pPr>
        <w:pStyle w:val="Heading2"/>
      </w:pPr>
      <w:r>
        <w:t xml:space="preserve">7. Life &amp; Disability Insurance Penetration %</w:t>
      </w:r>
    </w:p>
    <w:p>
      <w:pPr>
        <w:spacing w:after="80"/>
      </w:pPr>
      <w:r>
        <w:rPr>
          <w:b/>
          <w:bCs/>
        </w:rPr>
        <w:t xml:space="preserve">Current Rate: </w:t>
      </w:r>
      <w:r>
        <w:t xml:space="preserve">0.95%</w:t>
      </w:r>
    </w:p>
    <w:p>
      <w:pPr>
        <w:spacing w:after="80"/>
      </w:pPr>
      <w:r>
        <w:rPr>
          <w:b/>
          <w:bCs/>
        </w:rPr>
        <w:t xml:space="preserve">C-Class Average: </w:t>
      </w:r>
      <w:r>
        <w:t xml:space="preserve">5.93% (16.1% of class)</w:t>
      </w:r>
    </w:p>
    <w:p>
      <w:pPr>
        <w:spacing w:after="80"/>
      </w:pPr>
      <w:r>
        <w:rPr>
          <w:b/>
          <w:bCs/>
        </w:rPr>
        <w:t xml:space="preserve">National Average: </w:t>
      </w:r>
      <w:r>
        <w:t xml:space="preserve">27.10% (3.5% of national)</w:t>
      </w:r>
    </w:p>
    <w:p>
      <w:pPr>
        <w:spacing w:after="80"/>
      </w:pPr>
      <w:r>
        <w:rPr>
          <w:b/>
          <w:bCs/>
        </w:rPr>
        <w:t xml:space="preserve">Benchmark Range: </w:t>
      </w:r>
      <w:r>
        <w:t xml:space="preserve">20.0% minimum to 25.0% maximum</w:t>
      </w:r>
    </w:p>
    <w:p>
      <w:pPr>
        <w:spacing w:after="200"/>
      </w:pPr>
      <w:r>
        <w:rPr>
          <w:b/>
          <w:bCs/>
          <w:color w:val="C62828"/>
        </w:rPr>
        <w:t xml:space="preserve">Assessment: SUBSTANDARD. </w:t>
      </w:r>
      <w:r>
        <w:t xml:space="preserve">Life &amp; Disability penetration is significantly below standards at only 0.95%, which is 19 percentage points below the benchmark minimum of 20%. This represents only 16.1% of C-Class average and 3.5% of national average. This is a critical area requiring immediate attention and represents substantial revenue opportunity.</w:t>
      </w:r>
    </w:p>
    <w:p>
      <w:pPr>
        <w:pStyle w:val="Heading1"/>
      </w:pPr>
      <w:r>
        <w:t xml:space="preserve">Performance Score Assessment</w:t>
      </w:r>
    </w:p>
    <w:p>
      <w:pPr>
        <w:pStyle w:val="Heading2"/>
      </w:pPr>
      <w:r>
        <w:t xml:space="preserve">1. Departmental Sales Performance (30% weight)</w:t>
      </w:r>
    </w:p>
    <w:p>
      <w:pPr>
        <w:spacing w:after="80"/>
      </w:pPr>
      <w:r>
        <w:rPr>
          <w:b/>
          <w:bCs/>
        </w:rPr>
        <w:t xml:space="preserve">Score: 68/100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Total F&amp;I sales 109.9% of C-Class average</w:t>
      </w:r>
    </w:p>
    <w:p>
      <w:pPr>
        <w:pStyle w:val="ListParagraph"/>
        <w:numPr>
          <w:ilvl w:val="0"/>
          <w:numId w:val="2"/>
        </w:numPr>
      </w:pPr>
      <w:r>
        <w:t xml:space="preserve">Sales below national average (66.3%) due to volume class size</w:t>
      </w:r>
    </w:p>
    <w:p>
      <w:pPr>
        <w:pStyle w:val="ListParagraph"/>
        <w:numPr>
          <w:ilvl w:val="0"/>
          <w:numId w:val="2"/>
        </w:numPr>
      </w:pPr>
      <w:r>
        <w:t xml:space="preserve">Strong per-unit performance metrics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Supported by 145 ABC unit sales</w:t>
      </w:r>
    </w:p>
    <w:p>
      <w:pPr>
        <w:pStyle w:val="Heading2"/>
      </w:pPr>
      <w:r>
        <w:t xml:space="preserve">2. Departmental Gross Profit Performance (25% weight)</w:t>
      </w:r>
    </w:p>
    <w:p>
      <w:pPr>
        <w:spacing w:after="80"/>
      </w:pPr>
      <w:r>
        <w:rPr>
          <w:b/>
          <w:bCs/>
        </w:rPr>
        <w:t xml:space="preserve">Score: 75/100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F&amp;I gross profit PTUR 121.1% of national average</w:t>
      </w:r>
    </w:p>
    <w:p>
      <w:pPr>
        <w:pStyle w:val="ListParagraph"/>
        <w:numPr>
          <w:ilvl w:val="0"/>
          <w:numId w:val="2"/>
        </w:numPr>
      </w:pPr>
      <w:r>
        <w:t xml:space="preserve">ABC F&amp;I gross profit PNUHMR 130.5% of national</w:t>
      </w:r>
    </w:p>
    <w:p>
      <w:pPr>
        <w:pStyle w:val="ListParagraph"/>
        <w:numPr>
          <w:ilvl w:val="0"/>
          <w:numId w:val="2"/>
        </w:numPr>
      </w:pPr>
      <w:r>
        <w:t xml:space="preserve">Strong per-transaction profitability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Below C-Class averages but exceeds national benchmarks</w:t>
      </w:r>
    </w:p>
    <w:p>
      <w:pPr>
        <w:pStyle w:val="Heading2"/>
      </w:pPr>
      <w:r>
        <w:t xml:space="preserve">3. Cost Management (20% weight)</w:t>
      </w:r>
    </w:p>
    <w:p>
      <w:pPr>
        <w:spacing w:after="80"/>
      </w:pPr>
      <w:r>
        <w:rPr>
          <w:b/>
          <w:bCs/>
        </w:rPr>
        <w:t xml:space="preserve">Score: 72/100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Excellent retail finance penetration (72.4%)</w:t>
      </w:r>
    </w:p>
    <w:p>
      <w:pPr>
        <w:pStyle w:val="ListParagraph"/>
        <w:numPr>
          <w:ilvl w:val="0"/>
          <w:numId w:val="2"/>
        </w:numPr>
      </w:pPr>
      <w:r>
        <w:t xml:space="preserve">ESP penetration within benchmark standards</w:t>
      </w:r>
    </w:p>
    <w:p>
      <w:pPr>
        <w:pStyle w:val="ListParagraph"/>
        <w:numPr>
          <w:ilvl w:val="0"/>
          <w:numId w:val="2"/>
        </w:numPr>
      </w:pPr>
      <w:r>
        <w:t xml:space="preserve">Efficient F&amp;I transaction processing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Life &amp; Disability significantly underperforming</w:t>
      </w:r>
    </w:p>
    <w:p>
      <w:pPr>
        <w:pStyle w:val="Heading2"/>
      </w:pPr>
      <w:r>
        <w:t xml:space="preserve">4. Market Position/Growth (15% weight)</w:t>
      </w:r>
    </w:p>
    <w:p>
      <w:pPr>
        <w:spacing w:after="80"/>
      </w:pPr>
      <w:r>
        <w:rPr>
          <w:b/>
          <w:bCs/>
        </w:rPr>
        <w:t xml:space="preserve">Score: 70/100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Exceptional Retail Finance Penetration (154.9% of class)</w:t>
      </w:r>
    </w:p>
    <w:p>
      <w:pPr>
        <w:pStyle w:val="ListParagraph"/>
        <w:numPr>
          <w:ilvl w:val="0"/>
          <w:numId w:val="2"/>
        </w:numPr>
      </w:pPr>
      <w:r>
        <w:t xml:space="preserve">ESP penetration competitive with peers</w:t>
      </w:r>
    </w:p>
    <w:p>
      <w:pPr>
        <w:pStyle w:val="ListParagraph"/>
        <w:numPr>
          <w:ilvl w:val="0"/>
          <w:numId w:val="2"/>
        </w:numPr>
      </w:pPr>
      <w:r>
        <w:t xml:space="preserve">Per-unit metrics above national standards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Life &amp; Disability presents significant growth opportunity</w:t>
      </w:r>
    </w:p>
    <w:p>
      <w:pPr>
        <w:pStyle w:val="Heading2"/>
      </w:pPr>
      <w:r>
        <w:t xml:space="preserve">5. Operational Efficiency (10% weight)</w:t>
      </w:r>
    </w:p>
    <w:p>
      <w:pPr>
        <w:spacing w:after="80"/>
      </w:pPr>
      <w:r>
        <w:rPr>
          <w:b/>
          <w:bCs/>
        </w:rPr>
        <w:t xml:space="preserve">Score: 60/100</w:t>
      </w:r>
    </w:p>
    <w:p>
      <w:pPr>
        <w:spacing w:after="80"/>
      </w:pPr>
      <w:r>
        <w:rPr>
          <w:i/>
          <w:iCs/>
        </w:rPr>
        <w:t xml:space="preserve">Primary Factors:</w:t>
      </w:r>
    </w:p>
    <w:p>
      <w:pPr>
        <w:pStyle w:val="ListParagraph"/>
        <w:numPr>
          <w:ilvl w:val="0"/>
          <w:numId w:val="2"/>
        </w:numPr>
      </w:pPr>
      <w:r>
        <w:t xml:space="preserve">Strong finance product penetration execution</w:t>
      </w:r>
    </w:p>
    <w:p>
      <w:pPr>
        <w:pStyle w:val="ListParagraph"/>
        <w:numPr>
          <w:ilvl w:val="0"/>
          <w:numId w:val="2"/>
        </w:numPr>
      </w:pPr>
      <w:r>
        <w:t xml:space="preserve">Life &amp; Disability penetration significantly substandard (0.95%)</w:t>
      </w:r>
    </w:p>
    <w:p>
      <w:pPr>
        <w:pStyle w:val="ListParagraph"/>
        <w:numPr>
          <w:ilvl w:val="0"/>
          <w:numId w:val="2"/>
        </w:numPr>
      </w:pPr>
      <w:r>
        <w:t xml:space="preserve">Opportunity to improve product menu presentation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Inconsistent product offering across categories</w:t>
      </w:r>
    </w:p>
    <w:p>
      <w:pPr>
        <w:pStyle w:val="Heading1"/>
      </w:pPr>
      <w:r>
        <w:t xml:space="preserve">Performance Score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Performance 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Weighted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Sales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20.40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Gross Profit Performance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25%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75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18.75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14.40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r>
              <w:t xml:space="preserve">Market Position/Growth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70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</w:tcPr>
          <w:p>
            <w:pPr>
              <w:jc w:val="center"/>
            </w:pPr>
            <w:r>
              <w:t xml:space="preserve">10.50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Operational Efficiency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6.00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70.05</w:t>
            </w:r>
          </w:p>
        </w:tc>
      </w:tr>
    </w:tbl>
    <w:p>
      <w:pPr>
        <w:spacing w:before="200" w:after="200"/>
      </w:pPr>
      <w:r>
        <w:rPr>
          <w:b/>
          <w:bCs/>
          <w:color w:val="1F4E79"/>
          <w:sz w:val="28"/>
          <w:szCs w:val="28"/>
        </w:rPr>
        <w:t xml:space="preserve">Department Score: 70.05/100</w:t>
      </w:r>
    </w:p>
    <w:p>
      <w:pPr>
        <w:pStyle w:val="Heading1"/>
      </w:pPr>
      <w:r>
        <w:t xml:space="preserve">Key Strengths</w:t>
      </w:r>
    </w:p>
    <w:p>
      <w:pPr>
        <w:pStyle w:val="ListParagraph"/>
        <w:numPr>
          <w:ilvl w:val="0"/>
          <w:numId w:val="3"/>
        </w:numPr>
      </w:pPr>
      <w:r>
        <w:t xml:space="preserve">Exceptional Retail Finance Product Penetration at 72.4% (exceeds benchmark maximum of 60%)</w:t>
      </w:r>
    </w:p>
    <w:p>
      <w:pPr>
        <w:pStyle w:val="ListParagraph"/>
        <w:numPr>
          <w:ilvl w:val="0"/>
          <w:numId w:val="3"/>
        </w:numPr>
      </w:pPr>
      <w:r>
        <w:t xml:space="preserve">ESP Penetration within benchmark at 46.9% (benchmark min 45%)</w:t>
      </w:r>
    </w:p>
    <w:p>
      <w:pPr>
        <w:pStyle w:val="ListParagraph"/>
        <w:numPr>
          <w:ilvl w:val="0"/>
          <w:numId w:val="3"/>
        </w:numPr>
      </w:pPr>
      <w:r>
        <w:t xml:space="preserve">F&amp;I Gross Profit PTUR 21.1% above national average</w:t>
      </w:r>
    </w:p>
    <w:p>
      <w:pPr>
        <w:pStyle w:val="ListParagraph"/>
        <w:numPr>
          <w:ilvl w:val="0"/>
          <w:numId w:val="3"/>
        </w:numPr>
      </w:pPr>
      <w:r>
        <w:t xml:space="preserve">ABC F&amp;I Gross Profit PNUHMR 30.5% above national average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Total F&amp;I sales exceed C-Class average by 9.9%</w:t>
      </w:r>
    </w:p>
    <w:p>
      <w:pPr>
        <w:pStyle w:val="Heading1"/>
      </w:pPr>
      <w:r>
        <w:t xml:space="preserve">Critical Weaknesses</w:t>
      </w:r>
    </w:p>
    <w:p>
      <w:pPr>
        <w:pStyle w:val="ListParagraph"/>
        <w:numPr>
          <w:ilvl w:val="0"/>
          <w:numId w:val="4"/>
        </w:numPr>
      </w:pPr>
      <w:r>
        <w:t xml:space="preserve">Life &amp; Disability Insurance Penetration significantly substandard at 0.95% (benchmark minimum 20%)</w:t>
      </w:r>
    </w:p>
    <w:p>
      <w:pPr>
        <w:pStyle w:val="ListParagraph"/>
        <w:numPr>
          <w:ilvl w:val="0"/>
          <w:numId w:val="4"/>
        </w:numPr>
      </w:pPr>
      <w:r>
        <w:t xml:space="preserve">F&amp;I income per ABC unit below C-Class average (86.6%)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F&amp;I gross profit per ABC unit below C-Class average (88.2%)</w:t>
      </w:r>
    </w:p>
    <w:p>
      <w:pPr>
        <w:pStyle w:val="Heading1"/>
      </w:pPr>
      <w:r>
        <w:t xml:space="preserve">Strategic Recommendations</w:t>
      </w:r>
    </w:p>
    <w:p>
      <w:pPr>
        <w:pStyle w:val="Heading2"/>
      </w:pPr>
      <w:r>
        <w:t xml:space="preserve">Immediate Actions (0-3 months)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Life &amp; Disability Program Launch: </w:t>
      </w:r>
      <w:r>
        <w:t xml:space="preserve">Implement comprehensive L&amp;D training program. Current 0.95% penetration represents significant revenue leakage. Target minimum 10% penetration within 90 days.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F&amp;I Menu Enhancement: </w:t>
      </w:r>
      <w:r>
        <w:t xml:space="preserve">Review and enhance F&amp;I product presentation menu to ensure Life &amp; Disability products are prominently featured and value proposition clearly communicated.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b/>
          <w:bCs/>
        </w:rPr>
        <w:t xml:space="preserve">Customer Value Communication: </w:t>
      </w:r>
      <w:r>
        <w:t xml:space="preserve">Develop customer-facing materials explaining payment protection benefits, particularly relevant in current economic uncertainty.</w:t>
      </w:r>
    </w:p>
    <w:p>
      <w:pPr>
        <w:pStyle w:val="Heading2"/>
      </w:pPr>
      <w:r>
        <w:t xml:space="preserve">Short-Term Actions (3-6 months)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ESP Target Increase: </w:t>
      </w:r>
      <w:r>
        <w:t xml:space="preserve">Push ESP penetration toward 60% benchmark maximum (currently at 46.9%). Focus on value-based selling and extended coverage benefits.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Per-Unit Income Optimization: </w:t>
      </w:r>
      <w:r>
        <w:t xml:space="preserve">Implement strategies to increase F&amp;I income per ABC unit to meet C-Class average levels, focusing on product bundling and value presentation.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b/>
          <w:bCs/>
        </w:rPr>
        <w:t xml:space="preserve">Performance Tracking: </w:t>
      </w:r>
      <w:r>
        <w:t xml:space="preserve">Establish weekly F&amp;I penetration tracking dashboard with product-level detail to monitor improvement progress.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Report prepared based on operational data for the period November 2024 to October 2025. Analysis conducted using industry benchmarks and C-Class volume comparisons. Recommendations aligned with ABC-Moto dealer performance standards.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DPS Report - F&amp;I Sales Department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comments" Target="comment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CBCF6A5315C741AE006E39B6F5744B" ma:contentTypeVersion="12" ma:contentTypeDescription="Create a new document." ma:contentTypeScope="" ma:versionID="265c5c8baebd7f92b7ecba0cf6d12af9">
  <xsd:schema xmlns:xsd="http://www.w3.org/2001/XMLSchema" xmlns:xs="http://www.w3.org/2001/XMLSchema" xmlns:p="http://schemas.microsoft.com/office/2006/metadata/properties" xmlns:ns2="d3a5be39-038b-4cf3-81a2-ec650e72965c" xmlns:ns3="4a4c0322-f088-439d-add7-bb7c237ab873" targetNamespace="http://schemas.microsoft.com/office/2006/metadata/properties" ma:root="true" ma:fieldsID="06c3c784a078643db7eee5ac2e566c34" ns2:_="" ns3:_="">
    <xsd:import namespace="d3a5be39-038b-4cf3-81a2-ec650e72965c"/>
    <xsd:import namespace="4a4c0322-f088-439d-add7-bb7c237ab8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5be39-038b-4cf3-81a2-ec650e7296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a221a621-b895-488d-ba31-069686849e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4c0322-f088-439d-add7-bb7c237ab873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4e43765-ac5f-4c32-aeda-7eef28a22db5}" ma:internalName="TaxCatchAll" ma:showField="CatchAllData" ma:web="4a4c0322-f088-439d-add7-bb7c237ab8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a5be39-038b-4cf3-81a2-ec650e72965c">
      <Terms xmlns="http://schemas.microsoft.com/office/infopath/2007/PartnerControls"/>
    </lcf76f155ced4ddcb4097134ff3c332f>
    <TaxCatchAll xmlns="4a4c0322-f088-439d-add7-bb7c237ab873" xsi:nil="true"/>
  </documentManagement>
</p:properties>
</file>

<file path=customXml/itemProps1.xml><?xml version="1.0" encoding="utf-8"?>
<ds:datastoreItem xmlns:ds="http://schemas.openxmlformats.org/officeDocument/2006/customXml" ds:itemID="{421FD256-45EA-4CFE-84AD-542273094BC3}"/>
</file>

<file path=customXml/itemProps2.xml><?xml version="1.0" encoding="utf-8"?>
<ds:datastoreItem xmlns:ds="http://schemas.openxmlformats.org/officeDocument/2006/customXml" ds:itemID="{973C7088-D64A-4D73-8BCF-9FDCFE7030D1}"/>
</file>

<file path=customXml/itemProps3.xml><?xml version="1.0" encoding="utf-8"?>
<ds:datastoreItem xmlns:ds="http://schemas.openxmlformats.org/officeDocument/2006/customXml" ds:itemID="{FBD70C13-54D9-4787-8891-A75F5CA0DA31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2025-12-15T01:49:26Z</dcterms:created>
  <dcterms:modified xsi:type="dcterms:W3CDTF">2025-12-15T01:49:26Z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0x01010023CBCF6A5315C741AE006E39B6F5744B</vt:lpwstr>
  </property>
</Properties>
</file>