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Service Sales Growth Department Performance Analysis</w:t>
      </w:r>
    </w:p>
    <w:p>
      <w:pPr>
        <w:spacing w:after="100"/>
        <w:jc w:val="center"/>
      </w:pPr>
      <w:r>
        <w:rPr>
          <w:b/>
          <w:bCs/>
          <w:sz w:val="24"/>
          <w:szCs w:val="24"/>
        </w:rPr>
        <w:t xml:space="preserve">Dealership: 02002TEST_ABC-Moto</w:t>
      </w:r>
    </w:p>
    <w:p>
      <w:pPr>
        <w:spacing w:after="100"/>
        <w:jc w:val="center"/>
      </w:pPr>
      <w:r>
        <w:rPr>
          <w:sz w:val="22"/>
          <w:szCs w:val="22"/>
        </w:rPr>
        <w:t xml:space="preserve">Period: November 2024 to October 2025</w:t>
      </w:r>
    </w:p>
    <w:p>
      <w:pPr>
        <w:spacing w:after="300"/>
        <w:jc w:val="center"/>
      </w:pPr>
      <w:r>
        <w:rPr>
          <w:i/>
          <w:iCs/>
          <w:sz w:val="20"/>
          <w:szCs w:val="20"/>
        </w:rPr>
        <w:t xml:space="preserve">Report Date: December 14, 2025</w:t>
      </w:r>
    </w:p>
    <w:p>
      <w:pPr>
        <w:pStyle w:val="Heading1"/>
      </w:pPr>
      <w:r>
        <w:t xml:space="preserve">Executive Summary</w:t>
      </w:r>
    </w:p>
    <w:p>
      <w:pPr>
        <w:spacing w:after="200"/>
      </w:pPr>
      <w:r>
        <w:t xml:space="preserve">This report analyzes the Service Sales Growth department performance for 02002TEST_ABC-Moto. </w:t>
      </w:r>
      <w:r>
        <w:t xml:space="preserve">Performance is evaluated against C-Class peer averages and ABC-Moto national network averages. </w:t>
      </w:r>
      <w:r>
        <w:t xml:space="preserve">Note: Service department performance is influenced by the dealership's motorcycle unit sales which drive warranty work, PDI, and customer service visits.</w:t>
      </w:r>
    </w:p>
    <w:p>
      <w:pPr>
        <w:spacing w:after="200"/>
      </w:pPr>
      <w:r>
        <w:rPr>
          <w:b/>
          <w:bCs/>
        </w:rPr>
        <w:t xml:space="preserve">Key Finding: </w:t>
      </w:r>
      <w:r>
        <w:t xml:space="preserve">The department shows mixed performance with excellent labour productivity metrics (effective selling rate at 121.4% of class, labour sales per RO at 134.6% of class) but faces challenges with overall volume (82.6% of class) and technician productivity metrics including proficiency (45.4% vs 70% benchmark) and efficiency (82.8% vs 92% benchmark).</w:t>
      </w:r>
    </w:p>
    <w:p>
      <w:pPr>
        <w:pStyle w:val="Heading1"/>
      </w:pPr>
      <w:r>
        <w:t xml:space="preserve">Detailed KPI Analysis</w:t>
      </w:r>
    </w:p>
    <w:p>
      <w:pPr>
        <w:pStyle w:val="Heading2"/>
      </w:pPr>
      <w:r>
        <w:t xml:space="preserve">1. Total Service Net Sales $</w:t>
      </w:r>
    </w:p>
    <w:p>
      <w:pPr>
        <w:spacing w:after="100"/>
      </w:pPr>
      <w:r>
        <w:rPr>
          <w:b/>
          <w:bCs/>
        </w:rPr>
        <w:t xml:space="preserve">Current Year: </w:t>
      </w:r>
      <w:r>
        <w:t xml:space="preserve">$413,522</w:t>
      </w:r>
    </w:p>
    <w:p>
      <w:pPr>
        <w:spacing w:after="100"/>
      </w:pPr>
      <w:r>
        <w:rPr>
          <w:b/>
          <w:bCs/>
        </w:rPr>
        <w:t xml:space="preserve">C-Class Average: </w:t>
      </w:r>
      <w:r>
        <w:t xml:space="preserve">$500,343 (82.65% of Class)</w:t>
      </w:r>
    </w:p>
    <w:p>
      <w:pPr>
        <w:spacing w:after="100"/>
      </w:pPr>
      <w:r>
        <w:rPr>
          <w:b/>
          <w:bCs/>
        </w:rPr>
        <w:t xml:space="preserve">National Average: </w:t>
      </w:r>
      <w:r>
        <w:t xml:space="preserve">$812,778 (50.88% of National)</w:t>
      </w:r>
    </w:p>
    <w:p>
      <w:pPr>
        <w:spacing w:after="200"/>
      </w:pPr>
      <w:r>
        <w:rPr>
          <w:b/>
          <w:bCs/>
        </w:rPr>
        <w:t xml:space="preserve">Assessment: </w:t>
      </w:r>
      <w:r>
        <w:t xml:space="preserve">Total service sales of $414K represent 82.6% of class average. This is a Size KPI. Service revenue is influenced by the 145 new and used ABC units sold (88 new + 57 used) which generate warranty, PDI, and accessory installation work.</w:t>
      </w:r>
    </w:p>
    <w:p>
      <w:pPr>
        <w:pStyle w:val="Heading2"/>
      </w:pPr>
      <w:r>
        <w:t xml:space="preserve">2. Service Sales Gross Margin %</w:t>
      </w:r>
    </w:p>
    <w:p>
      <w:pPr>
        <w:spacing w:after="100"/>
      </w:pPr>
      <w:r>
        <w:rPr>
          <w:b/>
          <w:bCs/>
        </w:rPr>
        <w:t xml:space="preserve">Current Rate: </w:t>
      </w:r>
      <w:r>
        <w:t xml:space="preserve">55.44%</w:t>
      </w:r>
    </w:p>
    <w:p>
      <w:pPr>
        <w:spacing w:after="100"/>
      </w:pPr>
      <w:r>
        <w:rPr>
          <w:b/>
          <w:bCs/>
        </w:rPr>
        <w:t xml:space="preserve">Benchmark Range: </w:t>
      </w:r>
      <w:r>
        <w:t xml:space="preserve">60.0% minimum to 64.0% maximum</w:t>
      </w:r>
    </w:p>
    <w:p>
      <w:pPr>
        <w:spacing w:after="100"/>
      </w:pPr>
      <w:r>
        <w:rPr>
          <w:b/>
          <w:bCs/>
        </w:rPr>
        <w:t xml:space="preserve">C-Class Average: </w:t>
      </w:r>
      <w:r>
        <w:t xml:space="preserve">56.42% (98.26% of Class)</w:t>
      </w:r>
    </w:p>
    <w:p>
      <w:pPr>
        <w:spacing w:after="200"/>
      </w:pPr>
      <w:r>
        <w:rPr>
          <w:b/>
          <w:bCs/>
          <w:color w:val="C62828"/>
        </w:rPr>
        <w:t xml:space="preserve">Assessment: SUBSTANDARD. </w:t>
      </w:r>
      <w:r>
        <w:t xml:space="preserve">At 55.4%, overall service gross margin is below the 60% benchmark minimum. At 98.3% of class average (56.4%), it is near peers but the benchmark gap requires attention.</w:t>
      </w:r>
    </w:p>
    <w:p>
      <w:pPr>
        <w:pStyle w:val="Heading2"/>
      </w:pPr>
      <w:r>
        <w:t xml:space="preserve">3. Total Service Labour Net Sales $</w:t>
      </w:r>
    </w:p>
    <w:p>
      <w:pPr>
        <w:spacing w:after="100"/>
      </w:pPr>
      <w:r>
        <w:rPr>
          <w:b/>
          <w:bCs/>
        </w:rPr>
        <w:t xml:space="preserve">Current Year: </w:t>
      </w:r>
      <w:r>
        <w:t xml:space="preserve">$367,378</w:t>
      </w:r>
    </w:p>
    <w:p>
      <w:pPr>
        <w:spacing w:after="100"/>
      </w:pPr>
      <w:r>
        <w:rPr>
          <w:b/>
          <w:bCs/>
        </w:rPr>
        <w:t xml:space="preserve">C-Class Average: </w:t>
      </w:r>
      <w:r>
        <w:t xml:space="preserve">$457,862 (80.24% of Class)</w:t>
      </w:r>
    </w:p>
    <w:p>
      <w:pPr>
        <w:spacing w:after="200"/>
      </w:pPr>
      <w:r>
        <w:rPr>
          <w:b/>
          <w:bCs/>
        </w:rPr>
        <w:t xml:space="preserve">Assessment: </w:t>
      </w:r>
      <w:r>
        <w:t xml:space="preserve">Labour sales of $367K represent 80.2% of class average. This is a Size KPI reflecting the relative scale of service operations.</w:t>
      </w:r>
    </w:p>
    <w:p>
      <w:pPr>
        <w:pStyle w:val="Heading2"/>
      </w:pPr>
      <w:r>
        <w:t xml:space="preserve">4. Service Labour Gross Margin %</w:t>
      </w:r>
    </w:p>
    <w:p>
      <w:pPr>
        <w:spacing w:after="100"/>
      </w:pPr>
      <w:r>
        <w:rPr>
          <w:b/>
          <w:bCs/>
        </w:rPr>
        <w:t xml:space="preserve">Current Rate: </w:t>
      </w:r>
      <w:r>
        <w:t xml:space="preserve">78.27%</w:t>
      </w:r>
    </w:p>
    <w:p>
      <w:pPr>
        <w:spacing w:after="100"/>
      </w:pPr>
      <w:r>
        <w:rPr>
          <w:b/>
          <w:bCs/>
        </w:rPr>
        <w:t xml:space="preserve">Benchmark Range: </w:t>
      </w:r>
      <w:r>
        <w:t xml:space="preserve">65.0% minimum to 75.0% maximum</w:t>
      </w:r>
    </w:p>
    <w:p>
      <w:pPr>
        <w:spacing w:after="100"/>
      </w:pPr>
      <w:r>
        <w:rPr>
          <w:b/>
          <w:bCs/>
        </w:rPr>
        <w:t xml:space="preserve">C-Class Average: </w:t>
      </w:r>
      <w:r>
        <w:t xml:space="preserve">67.48% (115.99% of Class)</w:t>
      </w:r>
    </w:p>
    <w:p>
      <w:pPr>
        <w:spacing w:after="200"/>
      </w:pPr>
      <w:r>
        <w:rPr>
          <w:b/>
          <w:bCs/>
          <w:color w:val="2E7D32"/>
        </w:rPr>
        <w:t xml:space="preserve">Assessment: EXCELLENT. </w:t>
      </w:r>
      <w:r>
        <w:t xml:space="preserve">Labour gross margin of 78.3% exceeds the benchmark maximum of 75.0%. At 116.0% of class average (67.5%), this demonstrates excellent labour rate and cost management.</w:t>
      </w:r>
    </w:p>
    <w:p>
      <w:pPr>
        <w:pStyle w:val="Heading2"/>
      </w:pPr>
      <w:r>
        <w:t xml:space="preserve">5. Labor Revenue Per Total Units Retailed (PTUR)</w:t>
      </w:r>
    </w:p>
    <w:p>
      <w:pPr>
        <w:spacing w:after="100"/>
      </w:pPr>
      <w:r>
        <w:rPr>
          <w:b/>
          <w:bCs/>
        </w:rPr>
        <w:t xml:space="preserve">Current Value: </w:t>
      </w:r>
      <w:r>
        <w:t xml:space="preserve">$2,124</w:t>
      </w:r>
    </w:p>
    <w:p>
      <w:pPr>
        <w:spacing w:after="100"/>
      </w:pPr>
      <w:r>
        <w:rPr>
          <w:b/>
          <w:bCs/>
        </w:rPr>
        <w:t xml:space="preserve">C-Class Average: </w:t>
      </w:r>
      <w:r>
        <w:t xml:space="preserve">$3,076 (69.03% of Class)</w:t>
      </w:r>
    </w:p>
    <w:p>
      <w:pPr>
        <w:spacing w:after="200"/>
      </w:pPr>
      <w:r>
        <w:rPr>
          <w:b/>
          <w:bCs/>
        </w:rPr>
        <w:t xml:space="preserve">Assessment: </w:t>
      </w:r>
      <w:r>
        <w:t xml:space="preserve">Labour revenue per unit retailed is $2,124, which is 69.0% of class average. This is a Size KPI. There is opportunity to capture more service revenue per unit sold.</w:t>
      </w:r>
    </w:p>
    <w:p>
      <w:pPr>
        <w:pStyle w:val="Heading2"/>
      </w:pPr>
      <w:r>
        <w:t xml:space="preserve">6. Service Sales $ Per Total Units Retailed</w:t>
      </w:r>
    </w:p>
    <w:p>
      <w:pPr>
        <w:spacing w:after="100"/>
      </w:pPr>
      <w:r>
        <w:rPr>
          <w:b/>
          <w:bCs/>
        </w:rPr>
        <w:t xml:space="preserve">Current Value: </w:t>
      </w:r>
      <w:r>
        <w:t xml:space="preserve">$2,390</w:t>
      </w:r>
    </w:p>
    <w:p>
      <w:pPr>
        <w:spacing w:after="100"/>
      </w:pPr>
      <w:r>
        <w:rPr>
          <w:b/>
          <w:bCs/>
        </w:rPr>
        <w:t xml:space="preserve">C-Class Average: </w:t>
      </w:r>
      <w:r>
        <w:t xml:space="preserve">$3,362 (71.10% of Class)</w:t>
      </w:r>
    </w:p>
    <w:p>
      <w:pPr>
        <w:spacing w:after="200"/>
      </w:pPr>
      <w:r>
        <w:rPr>
          <w:b/>
          <w:bCs/>
        </w:rPr>
        <w:t xml:space="preserve">Assessment: </w:t>
      </w:r>
      <w:r>
        <w:t xml:space="preserve">Service sales per unit at $2,390 represents 71.1% of class average. This Size KPI indicates opportunity to grow service department relative to vehicle sales.</w:t>
      </w:r>
    </w:p>
    <w:p>
      <w:pPr>
        <w:pStyle w:val="Heading2"/>
      </w:pPr>
      <w:r>
        <w:t xml:space="preserve">7. Service Parts &amp; Accessories Dollars to Labour Hour Ratio</w:t>
      </w:r>
    </w:p>
    <w:p>
      <w:pPr>
        <w:spacing w:after="100"/>
      </w:pPr>
      <w:r>
        <w:rPr>
          <w:b/>
          <w:bCs/>
        </w:rPr>
        <w:t xml:space="preserve">Current Value: </w:t>
      </w:r>
      <w:r>
        <w:t xml:space="preserve">$176.16</w:t>
      </w:r>
    </w:p>
    <w:p>
      <w:pPr>
        <w:spacing w:after="100"/>
      </w:pPr>
      <w:r>
        <w:rPr>
          <w:b/>
          <w:bCs/>
        </w:rPr>
        <w:t xml:space="preserve">C-Class Average: </w:t>
      </w:r>
      <w:r>
        <w:t xml:space="preserve">$206.69 (85.23% of Class)</w:t>
      </w:r>
    </w:p>
    <w:p>
      <w:pPr>
        <w:spacing w:after="200"/>
      </w:pPr>
      <w:r>
        <w:rPr>
          <w:b/>
          <w:bCs/>
        </w:rPr>
        <w:t xml:space="preserve">Assessment: </w:t>
      </w:r>
      <w:r>
        <w:t xml:space="preserve">Parts to labour ratio of $176 is 85.2% of class average. This indicates room to improve parts attachment on service work orders.</w:t>
      </w:r>
    </w:p>
    <w:p>
      <w:pPr>
        <w:pStyle w:val="Heading2"/>
      </w:pPr>
      <w:r>
        <w:t xml:space="preserve">8. Proficiency (Profitability)</w:t>
      </w:r>
    </w:p>
    <w:p>
      <w:pPr>
        <w:spacing w:after="100"/>
      </w:pPr>
      <w:r>
        <w:rPr>
          <w:b/>
          <w:bCs/>
        </w:rPr>
        <w:t xml:space="preserve">Current Rate: </w:t>
      </w:r>
      <w:r>
        <w:t xml:space="preserve">45.38%</w:t>
      </w:r>
    </w:p>
    <w:p>
      <w:pPr>
        <w:spacing w:after="100"/>
      </w:pPr>
      <w:r>
        <w:rPr>
          <w:b/>
          <w:bCs/>
        </w:rPr>
        <w:t xml:space="preserve">Benchmark Range: </w:t>
      </w:r>
      <w:r>
        <w:t xml:space="preserve">70.0% minimum to 78.0% maximum</w:t>
      </w:r>
    </w:p>
    <w:p>
      <w:pPr>
        <w:spacing w:after="100"/>
      </w:pPr>
      <w:r>
        <w:rPr>
          <w:b/>
          <w:bCs/>
        </w:rPr>
        <w:t xml:space="preserve">C-Class Average: </w:t>
      </w:r>
      <w:r>
        <w:t xml:space="preserve">62.08% (73.09% of Class)</w:t>
      </w:r>
    </w:p>
    <w:p>
      <w:pPr>
        <w:spacing w:after="200"/>
      </w:pPr>
      <w:r>
        <w:rPr>
          <w:b/>
          <w:bCs/>
          <w:color w:val="C62828"/>
        </w:rPr>
        <w:t xml:space="preserve">Assessment: SIGNIFICANTLY SUBSTANDARD. </w:t>
      </w:r>
      <w:r>
        <w:t xml:space="preserve">Proficiency at 45.4% is far below the 70% benchmark minimum. At 73.1% of class average (62.1%), technicians are not billing sufficient hours relative to their cost. This is a key driver of overall service profitability issues.</w:t>
      </w:r>
    </w:p>
    <w:p>
      <w:pPr>
        <w:pStyle w:val="Heading2"/>
      </w:pPr>
      <w:r>
        <w:t xml:space="preserve">9. Efficiency</w:t>
      </w:r>
    </w:p>
    <w:p>
      <w:pPr>
        <w:spacing w:after="100"/>
      </w:pPr>
      <w:r>
        <w:rPr>
          <w:b/>
          <w:bCs/>
        </w:rPr>
        <w:t xml:space="preserve">Current Rate: </w:t>
      </w:r>
      <w:r>
        <w:t xml:space="preserve">82.77%</w:t>
      </w:r>
    </w:p>
    <w:p>
      <w:pPr>
        <w:spacing w:after="100"/>
      </w:pPr>
      <w:r>
        <w:rPr>
          <w:b/>
          <w:bCs/>
        </w:rPr>
        <w:t xml:space="preserve">Benchmark Range: </w:t>
      </w:r>
      <w:r>
        <w:t xml:space="preserve">92.0% minimum to 97.0% maximum</w:t>
      </w:r>
    </w:p>
    <w:p>
      <w:pPr>
        <w:spacing w:after="100"/>
      </w:pPr>
      <w:r>
        <w:rPr>
          <w:b/>
          <w:bCs/>
        </w:rPr>
        <w:t xml:space="preserve">C-Class Average: </w:t>
      </w:r>
      <w:r>
        <w:t xml:space="preserve">101.62% (81.45% of Class)</w:t>
      </w:r>
    </w:p>
    <w:p>
      <w:pPr>
        <w:spacing w:after="200"/>
      </w:pPr>
      <w:r>
        <w:rPr>
          <w:b/>
          <w:bCs/>
          <w:color w:val="C62828"/>
        </w:rPr>
        <w:t xml:space="preserve">Assessment: SUBSTANDARD. </w:t>
      </w:r>
      <w:r>
        <w:t xml:space="preserve">Efficiency at 82.8% is below the 92% benchmark minimum. At 81.4% of class average (101.6%), technicians are taking longer than standard time to complete jobs.</w:t>
      </w:r>
    </w:p>
    <w:p>
      <w:pPr>
        <w:pStyle w:val="Heading2"/>
      </w:pPr>
      <w:r>
        <w:t xml:space="preserve">10. Repair Orders (RO) per Tech per day</w:t>
      </w:r>
    </w:p>
    <w:p>
      <w:pPr>
        <w:spacing w:after="100"/>
      </w:pPr>
      <w:r>
        <w:rPr>
          <w:b/>
          <w:bCs/>
        </w:rPr>
        <w:t xml:space="preserve">Current Value: </w:t>
      </w:r>
      <w:r>
        <w:t xml:space="preserve">1.79</w:t>
      </w:r>
    </w:p>
    <w:p>
      <w:pPr>
        <w:spacing w:after="100"/>
      </w:pPr>
      <w:r>
        <w:rPr>
          <w:b/>
          <w:bCs/>
        </w:rPr>
        <w:t xml:space="preserve">C-Class Average: </w:t>
      </w:r>
      <w:r>
        <w:t xml:space="preserve">1.98 (90.23% of Class)</w:t>
      </w:r>
    </w:p>
    <w:p>
      <w:pPr>
        <w:spacing w:after="200"/>
      </w:pPr>
      <w:r>
        <w:rPr>
          <w:b/>
          <w:bCs/>
        </w:rPr>
        <w:t xml:space="preserve">Assessment: </w:t>
      </w:r>
      <w:r>
        <w:t xml:space="preserve">ROs per tech per day at 1.79 represents 90.2% of class average. This is a Size KPI. Workload distribution appears reasonable though slightly below peers.</w:t>
      </w:r>
    </w:p>
    <w:p>
      <w:pPr>
        <w:pStyle w:val="Heading2"/>
      </w:pPr>
      <w:r>
        <w:t xml:space="preserve">11. Effective Selling Rate</w:t>
      </w:r>
    </w:p>
    <w:p>
      <w:pPr>
        <w:spacing w:after="100"/>
      </w:pPr>
      <w:r>
        <w:rPr>
          <w:b/>
          <w:bCs/>
        </w:rPr>
        <w:t xml:space="preserve">Current Rate: </w:t>
      </w:r>
      <w:r>
        <w:t xml:space="preserve">$172.21</w:t>
      </w:r>
    </w:p>
    <w:p>
      <w:pPr>
        <w:spacing w:after="100"/>
      </w:pPr>
      <w:r>
        <w:rPr>
          <w:b/>
          <w:bCs/>
        </w:rPr>
        <w:t xml:space="preserve">Benchmark Range: </w:t>
      </w:r>
      <w:r>
        <w:t xml:space="preserve">$110 minimum to $145 maximum</w:t>
      </w:r>
    </w:p>
    <w:p>
      <w:pPr>
        <w:spacing w:after="100"/>
      </w:pPr>
      <w:r>
        <w:rPr>
          <w:b/>
          <w:bCs/>
        </w:rPr>
        <w:t xml:space="preserve">C-Class Average: </w:t>
      </w:r>
      <w:r>
        <w:t xml:space="preserve">$141.85 (121.41% of Class)</w:t>
      </w:r>
    </w:p>
    <w:p>
      <w:pPr>
        <w:spacing w:after="200"/>
      </w:pPr>
      <w:r>
        <w:rPr>
          <w:b/>
          <w:bCs/>
          <w:color w:val="2E7D32"/>
        </w:rPr>
        <w:t xml:space="preserve">Assessment: EXCELLENT. </w:t>
      </w:r>
      <w:r>
        <w:t xml:space="preserve">Effective selling rate of $172 significantly exceeds the benchmark maximum of $145. At 121.4% of class average, the dealership commands strong labour pricing.</w:t>
      </w:r>
    </w:p>
    <w:p>
      <w:pPr>
        <w:pStyle w:val="Heading2"/>
      </w:pPr>
      <w:r>
        <w:t xml:space="preserve">12. Labour Sales per RO</w:t>
      </w:r>
    </w:p>
    <w:p>
      <w:pPr>
        <w:spacing w:after="100"/>
      </w:pPr>
      <w:r>
        <w:rPr>
          <w:b/>
          <w:bCs/>
        </w:rPr>
        <w:t xml:space="preserve">Current Value: </w:t>
      </w:r>
      <w:r>
        <w:t xml:space="preserve">$428.18</w:t>
      </w:r>
    </w:p>
    <w:p>
      <w:pPr>
        <w:spacing w:after="100"/>
      </w:pPr>
      <w:r>
        <w:rPr>
          <w:b/>
          <w:bCs/>
        </w:rPr>
        <w:t xml:space="preserve">Benchmark Range: </w:t>
      </w:r>
      <w:r>
        <w:t xml:space="preserve">$300 minimum to $330 maximum</w:t>
      </w:r>
    </w:p>
    <w:p>
      <w:pPr>
        <w:spacing w:after="100"/>
      </w:pPr>
      <w:r>
        <w:rPr>
          <w:b/>
          <w:bCs/>
        </w:rPr>
        <w:t xml:space="preserve">C-Class Average: </w:t>
      </w:r>
      <w:r>
        <w:t xml:space="preserve">$318.20 (134.56% of Class)</w:t>
      </w:r>
    </w:p>
    <w:p>
      <w:pPr>
        <w:spacing w:after="200"/>
      </w:pPr>
      <w:r>
        <w:rPr>
          <w:b/>
          <w:bCs/>
          <w:color w:val="2E7D32"/>
        </w:rPr>
        <w:t xml:space="preserve">Assessment: EXCELLENT. </w:t>
      </w:r>
      <w:r>
        <w:t xml:space="preserve">Labour sales per RO of $428 significantly exceeds the benchmark maximum of $330. At 134.6% of class average, service writers are capturing substantial labour per repair order.</w:t>
      </w:r>
    </w:p>
    <w:p>
      <w:pPr>
        <w:pStyle w:val="Heading1"/>
      </w:pPr>
      <w:r>
        <w:t xml:space="preserve">Performance Score Assessment</w:t>
      </w:r>
    </w:p>
    <w:p>
      <w:pPr>
        <w:pStyle w:val="Heading2"/>
      </w:pPr>
      <w:r>
        <w:t xml:space="preserve">1. Departmental Sales Performance (30% weight)</w:t>
      </w:r>
    </w:p>
    <w:p>
      <w:pPr>
        <w:spacing w:after="100"/>
      </w:pPr>
      <w:r>
        <w:rPr>
          <w:b/>
          <w:bCs/>
        </w:rPr>
        <w:t xml:space="preserve">Score: 55/100</w:t>
      </w:r>
    </w:p>
    <w:p>
      <w:pPr>
        <w:pStyle w:val="ListParagraph"/>
        <w:numPr>
          <w:ilvl w:val="0"/>
          <w:numId w:val="2"/>
        </w:numPr>
      </w:pPr>
      <w:r>
        <w:t xml:space="preserve">Total service sales at 82.6% of class average</w:t>
      </w:r>
    </w:p>
    <w:p>
      <w:pPr>
        <w:pStyle w:val="ListParagraph"/>
        <w:numPr>
          <w:ilvl w:val="0"/>
          <w:numId w:val="2"/>
        </w:numPr>
      </w:pPr>
      <w:r>
        <w:t xml:space="preserve">Excellent labour sales per RO at 134.6% of class</w:t>
      </w:r>
    </w:p>
    <w:p>
      <w:pPr>
        <w:pStyle w:val="ListParagraph"/>
        <w:numPr>
          <w:ilvl w:val="0"/>
          <w:numId w:val="2"/>
        </w:numPr>
        <w:spacing w:after="200"/>
      </w:pPr>
      <w:r>
        <w:t xml:space="preserve">Lower than peer service revenue PTUR</w:t>
      </w:r>
    </w:p>
    <w:p>
      <w:pPr>
        <w:pStyle w:val="Heading2"/>
      </w:pPr>
      <w:r>
        <w:t xml:space="preserve">2. Departmental Gross Profit Performance (25% weight)</w:t>
      </w:r>
    </w:p>
    <w:p>
      <w:pPr>
        <w:spacing w:after="100"/>
      </w:pPr>
      <w:r>
        <w:rPr>
          <w:b/>
          <w:bCs/>
        </w:rPr>
        <w:t xml:space="preserve">Score: 60/100</w:t>
      </w:r>
    </w:p>
    <w:p>
      <w:pPr>
        <w:pStyle w:val="ListParagraph"/>
        <w:numPr>
          <w:ilvl w:val="0"/>
          <w:numId w:val="2"/>
        </w:numPr>
      </w:pPr>
      <w:r>
        <w:t xml:space="preserve">Labour gross margin excellent at 78.3%</w:t>
      </w:r>
    </w:p>
    <w:p>
      <w:pPr>
        <w:pStyle w:val="ListParagraph"/>
        <w:numPr>
          <w:ilvl w:val="0"/>
          <w:numId w:val="2"/>
        </w:numPr>
      </w:pPr>
      <w:r>
        <w:t xml:space="preserve">Overall service margin substandard at 55.4%</w:t>
      </w:r>
    </w:p>
    <w:p>
      <w:pPr>
        <w:pStyle w:val="ListParagraph"/>
        <w:numPr>
          <w:ilvl w:val="0"/>
          <w:numId w:val="2"/>
        </w:numPr>
        <w:spacing w:after="200"/>
      </w:pPr>
      <w:r>
        <w:t xml:space="preserve">Strong labour margin offsets overall gap</w:t>
      </w:r>
    </w:p>
    <w:p>
      <w:pPr>
        <w:pStyle w:val="Heading2"/>
      </w:pPr>
      <w:r>
        <w:t xml:space="preserve">3. Cost Management (20% weight)</w:t>
      </w:r>
    </w:p>
    <w:p>
      <w:pPr>
        <w:spacing w:after="100"/>
      </w:pPr>
      <w:r>
        <w:rPr>
          <w:b/>
          <w:bCs/>
        </w:rPr>
        <w:t xml:space="preserve">Score: 45/100</w:t>
      </w:r>
    </w:p>
    <w:p>
      <w:pPr>
        <w:pStyle w:val="ListParagraph"/>
        <w:numPr>
          <w:ilvl w:val="0"/>
          <w:numId w:val="2"/>
        </w:numPr>
      </w:pPr>
      <w:r>
        <w:t xml:space="preserve">Proficiency significantly substandard at 45.4%</w:t>
      </w:r>
    </w:p>
    <w:p>
      <w:pPr>
        <w:pStyle w:val="ListParagraph"/>
        <w:numPr>
          <w:ilvl w:val="0"/>
          <w:numId w:val="2"/>
        </w:numPr>
      </w:pPr>
      <w:r>
        <w:t xml:space="preserve">Efficiency below benchmark at 82.8%</w:t>
      </w:r>
    </w:p>
    <w:p>
      <w:pPr>
        <w:pStyle w:val="ListParagraph"/>
        <w:numPr>
          <w:ilvl w:val="0"/>
          <w:numId w:val="2"/>
        </w:numPr>
        <w:spacing w:after="200"/>
      </w:pPr>
      <w:r>
        <w:t xml:space="preserve">Technician productivity needs improvement</w:t>
      </w:r>
    </w:p>
    <w:p>
      <w:pPr>
        <w:pStyle w:val="Heading2"/>
      </w:pPr>
      <w:r>
        <w:t xml:space="preserve">4. Market Position/Growth (15% weight)</w:t>
      </w:r>
    </w:p>
    <w:p>
      <w:pPr>
        <w:spacing w:after="100"/>
      </w:pPr>
      <w:r>
        <w:rPr>
          <w:b/>
          <w:bCs/>
        </w:rPr>
        <w:t xml:space="preserve">Score: 70/100</w:t>
      </w:r>
    </w:p>
    <w:p>
      <w:pPr>
        <w:pStyle w:val="ListParagraph"/>
        <w:numPr>
          <w:ilvl w:val="0"/>
          <w:numId w:val="2"/>
        </w:numPr>
      </w:pPr>
      <w:r>
        <w:t xml:space="preserve">Excellent effective selling rate at $172</w:t>
      </w:r>
    </w:p>
    <w:p>
      <w:pPr>
        <w:pStyle w:val="ListParagraph"/>
        <w:numPr>
          <w:ilvl w:val="0"/>
          <w:numId w:val="2"/>
        </w:numPr>
        <w:spacing w:after="200"/>
      </w:pPr>
      <w:r>
        <w:t xml:space="preserve">Strong market pricing power demonstrated</w:t>
      </w:r>
    </w:p>
    <w:p>
      <w:pPr>
        <w:pStyle w:val="Heading2"/>
      </w:pPr>
      <w:r>
        <w:t xml:space="preserve">5. Operational Efficiency (10% weight)</w:t>
      </w:r>
    </w:p>
    <w:p>
      <w:pPr>
        <w:spacing w:after="100"/>
      </w:pPr>
      <w:r>
        <w:rPr>
          <w:b/>
          <w:bCs/>
        </w:rPr>
        <w:t xml:space="preserve">Score: 50/100</w:t>
      </w:r>
    </w:p>
    <w:p>
      <w:pPr>
        <w:pStyle w:val="ListParagraph"/>
        <w:numPr>
          <w:ilvl w:val="0"/>
          <w:numId w:val="2"/>
        </w:numPr>
      </w:pPr>
      <w:r>
        <w:t xml:space="preserve">RO throughput at 90.2% of class</w:t>
      </w:r>
    </w:p>
    <w:p>
      <w:pPr>
        <w:pStyle w:val="ListParagraph"/>
        <w:numPr>
          <w:ilvl w:val="0"/>
          <w:numId w:val="2"/>
        </w:numPr>
        <w:spacing w:after="200"/>
      </w:pPr>
      <w:r>
        <w:t xml:space="preserve">Technician utilization issues impact overall efficiency</w:t>
      </w:r>
    </w:p>
    <w:p>
      <w:pPr>
        <w:pStyle w:val="Heading2"/>
        <w:spacing w:before="300"/>
      </w:pPr>
      <w:r>
        <w:t xml:space="preserve">Performance Score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Performance Category</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Weight</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Score</w:t>
            </w:r>
          </w:p>
        </w:tc>
        <w:tc>
          <w:tcPr>
            <w:tcW w:type="dxa" w:w="21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Weighted Score</w:t>
            </w:r>
          </w:p>
        </w:tc>
      </w:tr>
      <w:tr>
        <w:tc>
          <w:tcPr>
            <w:tcW w:type="dxa" w:w="3600"/>
            <w:tcBorders>
              <w:top w:val="single" w:color="CCCCCC" w:sz="1"/>
              <w:left w:val="single" w:color="CCCCCC" w:sz="1"/>
              <w:bottom w:val="single" w:color="CCCCCC" w:sz="1"/>
              <w:right w:val="single" w:color="CCCCCC" w:sz="1"/>
            </w:tcBorders>
          </w:tcPr>
          <w:p>
            <w:r>
              <w:t xml:space="preserve">Sales Performance</w:t>
            </w:r>
          </w:p>
        </w:tc>
        <w:tc>
          <w:tcPr>
            <w:tcW w:type="dxa" w:w="1800"/>
            <w:tcBorders>
              <w:top w:val="single" w:color="CCCCCC" w:sz="1"/>
              <w:left w:val="single" w:color="CCCCCC" w:sz="1"/>
              <w:bottom w:val="single" w:color="CCCCCC" w:sz="1"/>
              <w:right w:val="single" w:color="CCCCCC" w:sz="1"/>
            </w:tcBorders>
          </w:tcPr>
          <w:p>
            <w:pPr>
              <w:jc w:val="center"/>
            </w:pPr>
            <w:r>
              <w:t xml:space="preserve">30%</w:t>
            </w:r>
          </w:p>
        </w:tc>
        <w:tc>
          <w:tcPr>
            <w:tcW w:type="dxa" w:w="1800"/>
            <w:tcBorders>
              <w:top w:val="single" w:color="CCCCCC" w:sz="1"/>
              <w:left w:val="single" w:color="CCCCCC" w:sz="1"/>
              <w:bottom w:val="single" w:color="CCCCCC" w:sz="1"/>
              <w:right w:val="single" w:color="CCCCCC" w:sz="1"/>
            </w:tcBorders>
          </w:tcPr>
          <w:p>
            <w:pPr>
              <w:jc w:val="center"/>
            </w:pPr>
            <w:r>
              <w:t xml:space="preserve">55</w:t>
            </w:r>
          </w:p>
        </w:tc>
        <w:tc>
          <w:tcPr>
            <w:tcW w:type="dxa" w:w="2160"/>
            <w:tcBorders>
              <w:top w:val="single" w:color="CCCCCC" w:sz="1"/>
              <w:left w:val="single" w:color="CCCCCC" w:sz="1"/>
              <w:bottom w:val="single" w:color="CCCCCC" w:sz="1"/>
              <w:right w:val="single" w:color="CCCCCC" w:sz="1"/>
            </w:tcBorders>
          </w:tcPr>
          <w:p>
            <w:pPr>
              <w:jc w:val="center"/>
            </w:pPr>
            <w:r>
              <w:t xml:space="preserve">16.50</w:t>
            </w:r>
          </w:p>
        </w:tc>
      </w:tr>
      <w:tr>
        <w:tc>
          <w:tcPr>
            <w:tcW w:type="dxa" w:w="3600"/>
            <w:tcBorders>
              <w:top w:val="single" w:color="CCCCCC" w:sz="1"/>
              <w:left w:val="single" w:color="CCCCCC" w:sz="1"/>
              <w:bottom w:val="single" w:color="CCCCCC" w:sz="1"/>
              <w:right w:val="single" w:color="CCCCCC" w:sz="1"/>
            </w:tcBorders>
            <w:shd w:fill="F2F2F2" w:val="clear"/>
          </w:tcPr>
          <w:p>
            <w:r>
              <w:t xml:space="preserve">Gross Profit Performance</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25%</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60</w:t>
            </w:r>
          </w:p>
        </w:tc>
        <w:tc>
          <w:tcPr>
            <w:tcW w:type="dxa" w:w="2160"/>
            <w:tcBorders>
              <w:top w:val="single" w:color="CCCCCC" w:sz="1"/>
              <w:left w:val="single" w:color="CCCCCC" w:sz="1"/>
              <w:bottom w:val="single" w:color="CCCCCC" w:sz="1"/>
              <w:right w:val="single" w:color="CCCCCC" w:sz="1"/>
            </w:tcBorders>
            <w:shd w:fill="F2F2F2" w:val="clear"/>
          </w:tcPr>
          <w:p>
            <w:pPr>
              <w:jc w:val="center"/>
            </w:pPr>
            <w:r>
              <w:t xml:space="preserve">15.00</w:t>
            </w:r>
          </w:p>
        </w:tc>
      </w:tr>
      <w:tr>
        <w:tc>
          <w:tcPr>
            <w:tcW w:type="dxa" w:w="3600"/>
            <w:tcBorders>
              <w:top w:val="single" w:color="CCCCCC" w:sz="1"/>
              <w:left w:val="single" w:color="CCCCCC" w:sz="1"/>
              <w:bottom w:val="single" w:color="CCCCCC" w:sz="1"/>
              <w:right w:val="single" w:color="CCCCCC" w:sz="1"/>
            </w:tcBorders>
          </w:tcPr>
          <w:p>
            <w:r>
              <w:t xml:space="preserve">Cost Management</w:t>
            </w:r>
          </w:p>
        </w:tc>
        <w:tc>
          <w:tcPr>
            <w:tcW w:type="dxa" w:w="1800"/>
            <w:tcBorders>
              <w:top w:val="single" w:color="CCCCCC" w:sz="1"/>
              <w:left w:val="single" w:color="CCCCCC" w:sz="1"/>
              <w:bottom w:val="single" w:color="CCCCCC" w:sz="1"/>
              <w:right w:val="single" w:color="CCCCCC" w:sz="1"/>
            </w:tcBorders>
          </w:tcPr>
          <w:p>
            <w:pPr>
              <w:jc w:val="center"/>
            </w:pPr>
            <w:r>
              <w:t xml:space="preserve">20%</w:t>
            </w:r>
          </w:p>
        </w:tc>
        <w:tc>
          <w:tcPr>
            <w:tcW w:type="dxa" w:w="1800"/>
            <w:tcBorders>
              <w:top w:val="single" w:color="CCCCCC" w:sz="1"/>
              <w:left w:val="single" w:color="CCCCCC" w:sz="1"/>
              <w:bottom w:val="single" w:color="CCCCCC" w:sz="1"/>
              <w:right w:val="single" w:color="CCCCCC" w:sz="1"/>
            </w:tcBorders>
          </w:tcPr>
          <w:p>
            <w:pPr>
              <w:jc w:val="center"/>
            </w:pPr>
            <w:r>
              <w:t xml:space="preserve">45</w:t>
            </w:r>
          </w:p>
        </w:tc>
        <w:tc>
          <w:tcPr>
            <w:tcW w:type="dxa" w:w="2160"/>
            <w:tcBorders>
              <w:top w:val="single" w:color="CCCCCC" w:sz="1"/>
              <w:left w:val="single" w:color="CCCCCC" w:sz="1"/>
              <w:bottom w:val="single" w:color="CCCCCC" w:sz="1"/>
              <w:right w:val="single" w:color="CCCCCC" w:sz="1"/>
            </w:tcBorders>
          </w:tcPr>
          <w:p>
            <w:pPr>
              <w:jc w:val="center"/>
            </w:pPr>
            <w:r>
              <w:t xml:space="preserve">9.00</w:t>
            </w:r>
          </w:p>
        </w:tc>
      </w:tr>
      <w:tr>
        <w:tc>
          <w:tcPr>
            <w:tcW w:type="dxa" w:w="3600"/>
            <w:tcBorders>
              <w:top w:val="single" w:color="CCCCCC" w:sz="1"/>
              <w:left w:val="single" w:color="CCCCCC" w:sz="1"/>
              <w:bottom w:val="single" w:color="CCCCCC" w:sz="1"/>
              <w:right w:val="single" w:color="CCCCCC" w:sz="1"/>
            </w:tcBorders>
            <w:shd w:fill="F2F2F2" w:val="clear"/>
          </w:tcPr>
          <w:p>
            <w:r>
              <w:t xml:space="preserve">Market Position/Growth</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15%</w:t>
            </w:r>
          </w:p>
        </w:tc>
        <w:tc>
          <w:tcPr>
            <w:tcW w:type="dxa" w:w="1800"/>
            <w:tcBorders>
              <w:top w:val="single" w:color="CCCCCC" w:sz="1"/>
              <w:left w:val="single" w:color="CCCCCC" w:sz="1"/>
              <w:bottom w:val="single" w:color="CCCCCC" w:sz="1"/>
              <w:right w:val="single" w:color="CCCCCC" w:sz="1"/>
            </w:tcBorders>
            <w:shd w:fill="F2F2F2" w:val="clear"/>
          </w:tcPr>
          <w:p>
            <w:pPr>
              <w:jc w:val="center"/>
            </w:pPr>
            <w:r>
              <w:t xml:space="preserve">70</w:t>
            </w:r>
          </w:p>
        </w:tc>
        <w:tc>
          <w:tcPr>
            <w:tcW w:type="dxa" w:w="2160"/>
            <w:tcBorders>
              <w:top w:val="single" w:color="CCCCCC" w:sz="1"/>
              <w:left w:val="single" w:color="CCCCCC" w:sz="1"/>
              <w:bottom w:val="single" w:color="CCCCCC" w:sz="1"/>
              <w:right w:val="single" w:color="CCCCCC" w:sz="1"/>
            </w:tcBorders>
            <w:shd w:fill="F2F2F2" w:val="clear"/>
          </w:tcPr>
          <w:p>
            <w:pPr>
              <w:jc w:val="center"/>
            </w:pPr>
            <w:r>
              <w:t xml:space="preserve">10.50</w:t>
            </w:r>
          </w:p>
        </w:tc>
      </w:tr>
      <w:tr>
        <w:tc>
          <w:tcPr>
            <w:tcW w:type="dxa" w:w="3600"/>
            <w:tcBorders>
              <w:top w:val="single" w:color="CCCCCC" w:sz="1"/>
              <w:left w:val="single" w:color="CCCCCC" w:sz="1"/>
              <w:bottom w:val="single" w:color="CCCCCC" w:sz="1"/>
              <w:right w:val="single" w:color="CCCCCC" w:sz="1"/>
            </w:tcBorders>
          </w:tcPr>
          <w:p>
            <w:r>
              <w:t xml:space="preserve">Operational Efficiency</w:t>
            </w:r>
          </w:p>
        </w:tc>
        <w:tc>
          <w:tcPr>
            <w:tcW w:type="dxa" w:w="1800"/>
            <w:tcBorders>
              <w:top w:val="single" w:color="CCCCCC" w:sz="1"/>
              <w:left w:val="single" w:color="CCCCCC" w:sz="1"/>
              <w:bottom w:val="single" w:color="CCCCCC" w:sz="1"/>
              <w:right w:val="single" w:color="CCCCCC" w:sz="1"/>
            </w:tcBorders>
          </w:tcPr>
          <w:p>
            <w:pPr>
              <w:jc w:val="center"/>
            </w:pPr>
            <w:r>
              <w:t xml:space="preserve">10%</w:t>
            </w:r>
          </w:p>
        </w:tc>
        <w:tc>
          <w:tcPr>
            <w:tcW w:type="dxa" w:w="1800"/>
            <w:tcBorders>
              <w:top w:val="single" w:color="CCCCCC" w:sz="1"/>
              <w:left w:val="single" w:color="CCCCCC" w:sz="1"/>
              <w:bottom w:val="single" w:color="CCCCCC" w:sz="1"/>
              <w:right w:val="single" w:color="CCCCCC" w:sz="1"/>
            </w:tcBorders>
          </w:tcPr>
          <w:p>
            <w:pPr>
              <w:jc w:val="center"/>
            </w:pPr>
            <w:r>
              <w:t xml:space="preserve">50</w:t>
            </w:r>
          </w:p>
        </w:tc>
        <w:tc>
          <w:tcPr>
            <w:tcW w:type="dxa" w:w="2160"/>
            <w:tcBorders>
              <w:top w:val="single" w:color="CCCCCC" w:sz="1"/>
              <w:left w:val="single" w:color="CCCCCC" w:sz="1"/>
              <w:bottom w:val="single" w:color="CCCCCC" w:sz="1"/>
              <w:right w:val="single" w:color="CCCCCC" w:sz="1"/>
            </w:tcBorders>
          </w:tcPr>
          <w:p>
            <w:pPr>
              <w:jc w:val="center"/>
            </w:pPr>
            <w:r>
              <w:t xml:space="preserve">5.00</w:t>
            </w:r>
          </w:p>
        </w:tc>
      </w:tr>
      <w:tr>
        <w:tc>
          <w:tcPr>
            <w:tcW w:type="dxa" w:w="3600"/>
            <w:tcBorders>
              <w:top w:val="single" w:color="CCCCCC" w:sz="1"/>
              <w:left w:val="single" w:color="CCCCCC" w:sz="1"/>
              <w:bottom w:val="single" w:color="CCCCCC" w:sz="1"/>
              <w:right w:val="single" w:color="CCCCCC" w:sz="1"/>
            </w:tcBorders>
            <w:shd w:fill="1F4E79" w:val="clear"/>
          </w:tcPr>
          <w:p>
            <w:r>
              <w:rPr>
                <w:b/>
                <w:bCs/>
                <w:color w:val="FFFFFF"/>
              </w:rPr>
              <w:t xml:space="preserve">TOTAL</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100%</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w:t>
            </w:r>
          </w:p>
        </w:tc>
        <w:tc>
          <w:tcPr>
            <w:tcW w:type="dxa" w:w="21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56.00</w:t>
            </w:r>
          </w:p>
        </w:tc>
      </w:tr>
    </w:tbl>
    <w:p>
      <w:pPr>
        <w:pStyle w:val="Heading1"/>
        <w:spacing w:before="400"/>
      </w:pPr>
      <w:r>
        <w:t xml:space="preserve">Key Strengths</w:t>
      </w:r>
    </w:p>
    <w:p>
      <w:pPr>
        <w:pStyle w:val="ListParagraph"/>
        <w:numPr>
          <w:ilvl w:val="0"/>
          <w:numId w:val="3"/>
        </w:numPr>
      </w:pPr>
      <w:r>
        <w:t xml:space="preserve">Excellent labour gross margin at 78.3% (exceeds benchmark maximum)</w:t>
      </w:r>
    </w:p>
    <w:p>
      <w:pPr>
        <w:pStyle w:val="ListParagraph"/>
        <w:numPr>
          <w:ilvl w:val="0"/>
          <w:numId w:val="3"/>
        </w:numPr>
      </w:pPr>
      <w:r>
        <w:t xml:space="preserve">Superior effective selling rate at $172 (121.4% of class)</w:t>
      </w:r>
    </w:p>
    <w:p>
      <w:pPr>
        <w:pStyle w:val="ListParagraph"/>
        <w:numPr>
          <w:ilvl w:val="0"/>
          <w:numId w:val="3"/>
        </w:numPr>
      </w:pPr>
      <w:r>
        <w:t xml:space="preserve">Outstanding labour sales per RO at $428 (134.6% of class)</w:t>
      </w:r>
    </w:p>
    <w:p>
      <w:pPr>
        <w:pStyle w:val="ListParagraph"/>
        <w:numPr>
          <w:ilvl w:val="0"/>
          <w:numId w:val="3"/>
        </w:numPr>
        <w:spacing w:after="200"/>
      </w:pPr>
      <w:r>
        <w:t xml:space="preserve">Strong market pricing power for labour services</w:t>
      </w:r>
    </w:p>
    <w:p>
      <w:pPr>
        <w:pStyle w:val="Heading1"/>
      </w:pPr>
      <w:r>
        <w:t xml:space="preserve">Critical Weaknesses</w:t>
      </w:r>
    </w:p>
    <w:p>
      <w:pPr>
        <w:pStyle w:val="ListParagraph"/>
        <w:numPr>
          <w:ilvl w:val="0"/>
          <w:numId w:val="4"/>
        </w:numPr>
      </w:pPr>
      <w:r>
        <w:t xml:space="preserve">Proficiency significantly substandard at 45.4% (benchmark min 70%)</w:t>
      </w:r>
    </w:p>
    <w:p>
      <w:pPr>
        <w:pStyle w:val="ListParagraph"/>
        <w:numPr>
          <w:ilvl w:val="0"/>
          <w:numId w:val="4"/>
        </w:numPr>
      </w:pPr>
      <w:r>
        <w:t xml:space="preserve">Efficiency below benchmark at 82.8% (benchmark min 92%)</w:t>
      </w:r>
    </w:p>
    <w:p>
      <w:pPr>
        <w:pStyle w:val="ListParagraph"/>
        <w:numPr>
          <w:ilvl w:val="0"/>
          <w:numId w:val="4"/>
        </w:numPr>
      </w:pPr>
      <w:r>
        <w:t xml:space="preserve">Overall service gross margin substandard at 55.4% (benchmark min 60%)</w:t>
      </w:r>
    </w:p>
    <w:p>
      <w:pPr>
        <w:pStyle w:val="ListParagraph"/>
        <w:numPr>
          <w:ilvl w:val="0"/>
          <w:numId w:val="4"/>
        </w:numPr>
        <w:spacing w:after="200"/>
      </w:pPr>
      <w:r>
        <w:t xml:space="preserve">Service sales volume below class average at 82.6%</w:t>
      </w:r>
    </w:p>
    <w:p>
      <w:pPr>
        <w:pStyle w:val="Heading1"/>
      </w:pPr>
      <w:r>
        <w:t xml:space="preserve">Strategic Recommendations</w:t>
      </w:r>
    </w:p>
    <w:p>
      <w:pPr>
        <w:spacing w:before="200"/>
      </w:pPr>
      <w:r>
        <w:rPr>
          <w:b/>
          <w:bCs/>
          <w:sz w:val="24"/>
          <w:szCs w:val="24"/>
        </w:rPr>
        <w:t xml:space="preserve">Immediate Actions (0-3 months)</w:t>
      </w:r>
    </w:p>
    <w:p>
      <w:pPr>
        <w:pStyle w:val="ListParagraph"/>
        <w:numPr>
          <w:ilvl w:val="0"/>
          <w:numId w:val="5"/>
        </w:numPr>
      </w:pPr>
      <w:r>
        <w:rPr>
          <w:b/>
          <w:bCs/>
        </w:rPr>
        <w:t xml:space="preserve">Proficiency Analysis: </w:t>
      </w:r>
      <w:r>
        <w:t xml:space="preserve">Conduct detailed analysis of technician hours billed vs. hours paid to identify root causes of the 45.4% proficiency gap</w:t>
      </w:r>
    </w:p>
    <w:p>
      <w:pPr>
        <w:pStyle w:val="ListParagraph"/>
        <w:numPr>
          <w:ilvl w:val="0"/>
          <w:numId w:val="5"/>
        </w:numPr>
      </w:pPr>
      <w:r>
        <w:rPr>
          <w:b/>
          <w:bCs/>
        </w:rPr>
        <w:t xml:space="preserve">Time Standards Review: </w:t>
      </w:r>
      <w:r>
        <w:t xml:space="preserve">Review flat-rate times and identify jobs taking longer than standard to address efficiency issues</w:t>
      </w:r>
    </w:p>
    <w:p>
      <w:pPr>
        <w:pStyle w:val="ListParagraph"/>
        <w:numPr>
          <w:ilvl w:val="0"/>
          <w:numId w:val="5"/>
        </w:numPr>
        <w:spacing w:after="200"/>
      </w:pPr>
      <w:r>
        <w:rPr>
          <w:b/>
          <w:bCs/>
        </w:rPr>
        <w:t xml:space="preserve">Work Mix Analysis: </w:t>
      </w:r>
      <w:r>
        <w:t xml:space="preserve">Evaluate the balance between warranty, CP, and internal work to optimize labour utilization</w:t>
      </w:r>
    </w:p>
    <w:p>
      <w:r>
        <w:rPr>
          <w:b/>
          <w:bCs/>
          <w:sz w:val="24"/>
          <w:szCs w:val="24"/>
        </w:rPr>
        <w:t xml:space="preserve">Short-Term Actions (3-6 months)</w:t>
      </w:r>
    </w:p>
    <w:p>
      <w:pPr>
        <w:pStyle w:val="ListParagraph"/>
        <w:numPr>
          <w:ilvl w:val="0"/>
          <w:numId w:val="5"/>
        </w:numPr>
      </w:pPr>
      <w:r>
        <w:rPr>
          <w:b/>
          <w:bCs/>
        </w:rPr>
        <w:t xml:space="preserve">Technician Training: </w:t>
      </w:r>
      <w:r>
        <w:t xml:space="preserve">Implement skills development program to improve job completion times</w:t>
      </w:r>
    </w:p>
    <w:p>
      <w:pPr>
        <w:pStyle w:val="ListParagraph"/>
        <w:numPr>
          <w:ilvl w:val="0"/>
          <w:numId w:val="5"/>
        </w:numPr>
      </w:pPr>
      <w:r>
        <w:rPr>
          <w:b/>
          <w:bCs/>
        </w:rPr>
        <w:t xml:space="preserve">Service Marketing: </w:t>
      </w:r>
      <w:r>
        <w:t xml:space="preserve">Launch customer retention marketing to grow service volume relative to unit sales</w:t>
      </w:r>
    </w:p>
    <w:p>
      <w:pPr>
        <w:pStyle w:val="ListParagraph"/>
        <w:numPr>
          <w:ilvl w:val="0"/>
          <w:numId w:val="5"/>
        </w:numPr>
        <w:spacing w:after="200"/>
      </w:pPr>
      <w:r>
        <w:rPr>
          <w:b/>
          <w:bCs/>
        </w:rPr>
        <w:t xml:space="preserve">Parts Attachment: </w:t>
      </w:r>
      <w:r>
        <w:t xml:space="preserve">Improve parts-to-labour ratio through service advisor training on parts recommendations</w:t>
      </w:r>
    </w:p>
    <w:p>
      <w:r>
        <w:rPr>
          <w:b/>
          <w:bCs/>
          <w:sz w:val="24"/>
          <w:szCs w:val="24"/>
        </w:rPr>
        <w:t xml:space="preserve">Long-Term Strategies (6-12 months)</w:t>
      </w:r>
    </w:p>
    <w:p>
      <w:pPr>
        <w:pStyle w:val="ListParagraph"/>
        <w:numPr>
          <w:ilvl w:val="0"/>
          <w:numId w:val="5"/>
        </w:numPr>
      </w:pPr>
      <w:r>
        <w:rPr>
          <w:b/>
          <w:bCs/>
        </w:rPr>
        <w:t xml:space="preserve">Proficiency Target: </w:t>
      </w:r>
      <w:r>
        <w:t xml:space="preserve">Develop roadmap to achieve 70% proficiency benchmark</w:t>
      </w:r>
    </w:p>
    <w:p>
      <w:pPr>
        <w:pStyle w:val="ListParagraph"/>
        <w:numPr>
          <w:ilvl w:val="0"/>
          <w:numId w:val="5"/>
        </w:numPr>
      </w:pPr>
      <w:r>
        <w:rPr>
          <w:b/>
          <w:bCs/>
        </w:rPr>
        <w:t xml:space="preserve">Efficiency Target: </w:t>
      </w:r>
      <w:r>
        <w:t xml:space="preserve">Establish 92% efficiency target with milestone tracking</w:t>
      </w:r>
    </w:p>
    <w:p>
      <w:pPr>
        <w:pStyle w:val="ListParagraph"/>
        <w:numPr>
          <w:ilvl w:val="0"/>
          <w:numId w:val="5"/>
        </w:numPr>
        <w:spacing w:after="300"/>
      </w:pPr>
      <w:r>
        <w:rPr>
          <w:b/>
          <w:bCs/>
        </w:rPr>
        <w:t xml:space="preserve">Absorption Focus: </w:t>
      </w:r>
      <w:r>
        <w:t xml:space="preserve">Grow fixed operations to improve overall dealership absorption rate</w:t>
      </w:r>
    </w:p>
    <w:p>
      <w:pPr>
        <w:pStyle w:val="Heading1"/>
      </w:pPr>
      <w:r>
        <w:t xml:space="preserve">Conclusion</w:t>
      </w:r>
    </w:p>
    <w:p>
      <w:pPr>
        <w:spacing w:after="200"/>
      </w:pPr>
      <w:r>
        <w:t xml:space="preserve">The Service Sales Growth department at 02002TEST_ABC-Moto demonstrates strong pricing power with excellent labour gross margin, effective selling rate, and labour sales per RO. </w:t>
      </w:r>
      <w:r>
        <w:t xml:space="preserve">However, technician productivity metrics are significantly below benchmarks, with proficiency at only 45.4% (benchmark 70%) and efficiency at 82.8% (benchmark 92%).</w:t>
      </w:r>
    </w:p>
    <w:p>
      <w:pPr>
        <w:spacing w:after="200"/>
      </w:pPr>
      <w:r>
        <w:t xml:space="preserve">The path to improved performance lies in addressing the proficiency and efficiency gaps. With strong labour rates already in place, improving technician productivity would significantly enhance department profitability and contribution to dealership absorption.</w:t>
      </w:r>
    </w:p>
    <w:p>
      <w:pPr>
        <w:spacing w:after="100"/>
      </w:pPr>
      <w:r>
        <w:rPr>
          <w:b/>
          <w:bCs/>
          <w:sz w:val="26"/>
          <w:szCs w:val="26"/>
        </w:rPr>
        <w:t xml:space="preserve">Service Sales Growth Department Score: 56.00/100</w:t>
      </w:r>
    </w:p>
    <w:p>
      <w:pPr>
        <w:spacing w:before="400"/>
      </w:pPr>
      <w:r>
        <w:rPr>
          <w:i/>
          <w:iCs/>
          <w:sz w:val="18"/>
          <w:szCs w:val="18"/>
        </w:rPr>
        <w:t xml:space="preserve">Report prepared based on operational data for the period November 2024 to October 2025</w:t>
      </w:r>
    </w:p>
    <w:p>
      <w:r>
        <w:rPr>
          <w:i/>
          <w:iCs/>
          <w:sz w:val="18"/>
          <w:szCs w:val="18"/>
        </w:rPr>
        <w:t xml:space="preserve">Analysis conducted using industry benchmarks and C-Class volume class comparisons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DPS Service Sales Growth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CBCF6A5315C741AE006E39B6F5744B" ma:contentTypeVersion="12" ma:contentTypeDescription="Create a new document." ma:contentTypeScope="" ma:versionID="265c5c8baebd7f92b7ecba0cf6d12af9">
  <xsd:schema xmlns:xsd="http://www.w3.org/2001/XMLSchema" xmlns:xs="http://www.w3.org/2001/XMLSchema" xmlns:p="http://schemas.microsoft.com/office/2006/metadata/properties" xmlns:ns2="d3a5be39-038b-4cf3-81a2-ec650e72965c" xmlns:ns3="4a4c0322-f088-439d-add7-bb7c237ab873" targetNamespace="http://schemas.microsoft.com/office/2006/metadata/properties" ma:root="true" ma:fieldsID="06c3c784a078643db7eee5ac2e566c34" ns2:_="" ns3:_="">
    <xsd:import namespace="d3a5be39-038b-4cf3-81a2-ec650e72965c"/>
    <xsd:import namespace="4a4c0322-f088-439d-add7-bb7c237ab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5be39-038b-4cf3-81a2-ec650e729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221a621-b895-488d-ba31-069686849ef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4c0322-f088-439d-add7-bb7c237ab87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4e43765-ac5f-4c32-aeda-7eef28a22db5}" ma:internalName="TaxCatchAll" ma:showField="CatchAllData" ma:web="4a4c0322-f088-439d-add7-bb7c237ab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a5be39-038b-4cf3-81a2-ec650e72965c">
      <Terms xmlns="http://schemas.microsoft.com/office/infopath/2007/PartnerControls"/>
    </lcf76f155ced4ddcb4097134ff3c332f>
    <TaxCatchAll xmlns="4a4c0322-f088-439d-add7-bb7c237ab873" xsi:nil="true"/>
  </documentManagement>
</p:properties>
</file>

<file path=customXml/itemProps1.xml><?xml version="1.0" encoding="utf-8"?>
<ds:datastoreItem xmlns:ds="http://schemas.openxmlformats.org/officeDocument/2006/customXml" ds:itemID="{62D0F0B8-1330-4AD5-843D-65F3C8372A9F}"/>
</file>

<file path=customXml/itemProps2.xml><?xml version="1.0" encoding="utf-8"?>
<ds:datastoreItem xmlns:ds="http://schemas.openxmlformats.org/officeDocument/2006/customXml" ds:itemID="{A6C4E57E-1A1F-401E-83F5-AB1D732110DC}"/>
</file>

<file path=customXml/itemProps3.xml><?xml version="1.0" encoding="utf-8"?>
<ds:datastoreItem xmlns:ds="http://schemas.openxmlformats.org/officeDocument/2006/customXml" ds:itemID="{0224135E-C788-4EEF-9328-3075CCAD378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2025-12-15T01:58:22Z</dcterms:created>
  <dcterms:modified xsi:type="dcterms:W3CDTF">2025-12-15T01:58:22Z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0x01010023CBCF6A5315C741AE006E39B6F5744B</vt:lpwstr>
  </property>
</Properties>
</file>