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Overall Dealership Financial Performance Analysis</w:t>
      </w:r>
    </w:p>
    <w:p>
      <w:pPr>
        <w:spacing w:after="60"/>
        <w:jc w:val="center"/>
      </w:pPr>
      <w:r>
        <w:rPr>
          <w:rFonts w:ascii="Arial" w:cs="Arial" w:eastAsia="Arial" w:hAnsi="Arial"/>
          <w:b/>
          <w:bCs/>
          <w:sz w:val="24"/>
          <w:szCs w:val="24"/>
        </w:rPr>
        <w:t xml:space="preserve">Dealership Name: 57004TEST ABC-Moto</w:t>
      </w:r>
    </w:p>
    <w:p>
      <w:pPr>
        <w:spacing w:after="60"/>
        <w:jc w:val="center"/>
      </w:pPr>
      <w:r>
        <w:rPr>
          <w:rFonts w:ascii="Arial" w:cs="Arial" w:eastAsia="Arial" w:hAnsi="Arial"/>
          <w:b/>
          <w:bCs/>
          <w:sz w:val="24"/>
          <w:szCs w:val="24"/>
        </w:rPr>
        <w:t xml:space="preserve">Period: January 2025 to December 2025</w:t>
      </w:r>
    </w:p>
    <w:p>
      <w:pPr>
        <w:spacing w:after="200"/>
        <w:jc w:val="center"/>
      </w:pPr>
      <w:r>
        <w:rPr>
          <w:rFonts w:ascii="Arial" w:cs="Arial" w:eastAsia="Arial" w:hAnsi="Arial"/>
          <w:sz w:val="22"/>
          <w:szCs w:val="22"/>
        </w:rPr>
        <w:t xml:space="preserve">Report Date: February 21, 2026</w:t>
      </w:r>
    </w:p>
    <w:p>
      <w:pPr>
        <w:pBdr>
          <w:bottom w:val="single" w:color="2E75B6" w:sz="6" w:space="1"/>
        </w:pBdr>
        <w:spacing w:after="200"/>
      </w:pPr>
    </w:p>
    <w:p>
      <w:pPr>
        <w:pStyle w:val="Heading1"/>
        <w:spacing w:before="200" w:after="120"/>
      </w:pPr>
      <w:r>
        <w:rPr>
          <w:rFonts w:ascii="Arial" w:cs="Arial" w:eastAsia="Arial" w:hAnsi="Arial"/>
          <w:b/>
          <w:bCs/>
          <w:color w:val="1F3864"/>
          <w:sz w:val="28"/>
          <w:szCs w:val="28"/>
        </w:rPr>
        <w:t xml:space="preserve">Executive Summary</w:t>
      </w:r>
    </w:p>
    <w:p>
      <w:pPr>
        <w:spacing w:after="120"/>
      </w:pPr>
      <w:r>
        <w:rPr>
          <w:rFonts w:ascii="Arial" w:cs="Arial" w:eastAsia="Arial" w:hAnsi="Arial"/>
          <w:sz w:val="21"/>
          <w:szCs w:val="21"/>
        </w:rPr>
        <w:t xml:space="preserve">This report analyzes the Overall Dealership Financial Performance for 57004TEST ABC-Moto for the rolling 12-month period from January 2025 to December 2025. The analysis compares current year performance against previous year results, A-Class volume class averages, and national ABC-Moto network benchmarks.</w:t>
      </w:r>
    </w:p>
    <w:p>
      <w:pPr>
        <w:spacing w:after="120"/>
      </w:pPr>
      <w:r>
        <w:rPr>
          <w:rFonts w:ascii="Arial" w:cs="Arial" w:eastAsia="Arial" w:hAnsi="Arial"/>
          <w:sz w:val="21"/>
          <w:szCs w:val="21"/>
        </w:rPr>
        <w:t xml:space="preserve">The dealership demonstrates a strong profitability turnaround, with net operating profit increasing by 127.6% year-over-year to $722,503. Return on sales of 4.39% significantly outperforms both the A-Class average (1.79%) and national average (1.05%). Operating expense management is exceptional, with total operating expenses at just 18.86% of net sales, well below the A-Class average of 20.66%. The dealership also maintains strong market positioning with a 77.1% sales contribution and 33.8% market share within its DAT.</w:t>
      </w:r>
    </w:p>
    <w:p>
      <w:pPr>
        <w:spacing w:after="120"/>
      </w:pPr>
      <w:r>
        <w:rPr>
          <w:rFonts w:ascii="Arial" w:cs="Arial" w:eastAsia="Arial" w:hAnsi="Arial"/>
          <w:sz w:val="21"/>
          <w:szCs w:val="21"/>
        </w:rPr>
        <w:t xml:space="preserve">Key areas of concern include overall dealership gross margin compression (18.39%, below the A-Class average of 20.50%), elevated advertising expenditure (124.2% of class average), and higher-than-peer leverage ratios. The CXI Net Promoter Score, while positive at 87.5, is slightly below the A-Class average of 90.5. These factors are evaluated in the context of the current Canadian market headwinds, including tariff uncertainties and shifting consumer sentiment affecting ABC-Moto dealerships nationwide.</w:t>
      </w:r>
    </w:p>
    <w:p>
      <w:pPr>
        <w:pBdr>
          <w:bottom w:val="single" w:color="2E75B6" w:sz="4" w:space="1"/>
        </w:pBdr>
        <w:spacing w:after="200"/>
      </w:pPr>
    </w:p>
    <w:p>
      <w:pPr>
        <w:pStyle w:val="Heading1"/>
        <w:spacing w:before="200" w:after="120"/>
      </w:pPr>
      <w:r>
        <w:rPr>
          <w:rFonts w:ascii="Arial" w:cs="Arial" w:eastAsia="Arial" w:hAnsi="Arial"/>
          <w:b/>
          <w:bCs/>
          <w:color w:val="1F3864"/>
          <w:sz w:val="28"/>
          <w:szCs w:val="28"/>
        </w:rPr>
        <w:t xml:space="preserve">Detailed Performance Analysis</w:t>
      </w:r>
    </w:p>
    <w:p>
      <w:pPr>
        <w:pStyle w:val="Heading2"/>
        <w:spacing w:before="180" w:after="80"/>
      </w:pPr>
      <w:r>
        <w:rPr>
          <w:rFonts w:ascii="Arial" w:cs="Arial" w:eastAsia="Arial" w:hAnsi="Arial"/>
          <w:b/>
          <w:bCs/>
          <w:color w:val="2E75B6"/>
          <w:sz w:val="24"/>
          <w:szCs w:val="24"/>
        </w:rPr>
        <w:t xml:space="preserve">1. Overall Dealership Net Sales</w:t>
      </w:r>
    </w:p>
    <w:p>
      <w:pPr>
        <w:spacing w:before="20" w:after="20"/>
        <w:ind w:left="360"/>
      </w:pPr>
      <w:r>
        <w:rPr>
          <w:rFonts w:ascii="Arial" w:cs="Arial" w:eastAsia="Arial" w:hAnsi="Arial"/>
          <w:sz w:val="20"/>
          <w:szCs w:val="20"/>
        </w:rPr>
        <w:t xml:space="preserve">Current Year: $16,452,227.79</w:t>
      </w:r>
    </w:p>
    <w:p>
      <w:pPr>
        <w:spacing w:before="20" w:after="20"/>
        <w:ind w:left="360"/>
      </w:pPr>
      <w:r>
        <w:rPr>
          <w:rFonts w:ascii="Arial" w:cs="Arial" w:eastAsia="Arial" w:hAnsi="Arial"/>
          <w:sz w:val="20"/>
          <w:szCs w:val="20"/>
        </w:rPr>
        <w:t xml:space="preserve">Year-over-Year Change: +6.7% ($1,037,307.11 increase)</w:t>
      </w:r>
    </w:p>
    <w:p>
      <w:pPr>
        <w:spacing w:before="20" w:after="20"/>
        <w:ind w:left="360"/>
      </w:pPr>
      <w:r>
        <w:rPr>
          <w:rFonts w:ascii="Arial" w:cs="Arial" w:eastAsia="Arial" w:hAnsi="Arial"/>
          <w:sz w:val="20"/>
          <w:szCs w:val="20"/>
        </w:rPr>
        <w:t xml:space="preserve">A-Class Average Comparison: 95.1% of benchmark ($17,298,599.60)</w:t>
      </w:r>
    </w:p>
    <w:p>
      <w:pPr>
        <w:spacing w:before="20" w:after="20"/>
        <w:ind w:left="360"/>
      </w:pPr>
      <w:r>
        <w:rPr>
          <w:rFonts w:ascii="Arial" w:cs="Arial" w:eastAsia="Arial" w:hAnsi="Arial"/>
          <w:sz w:val="20"/>
          <w:szCs w:val="20"/>
        </w:rPr>
        <w:t xml:space="preserve">National Average Comparison: 139.1% of benchmark ($11,825,083.67)</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The dealership generated $16,452,227.79 in net sales, representing a +6.7% increase year-over-year. This is a positive trend, particularly notable given the challenging Canadian market conditions. The dealership's net sales are 95.1% of the A-Class average, indicating the dealership is a smaller-than-average A-Class dealer in terms of total revenue. Compared to the national average of $11,825,083.67, the dealership generates significantly higher revenue at 139.1% of the national average. The A-Class average experienced a slight decline (-$4,614.08), while the dealership grew, suggesting the dealership is outperforming its peer group in revenue generation.</w:t>
      </w:r>
    </w:p>
    <w:p>
      <w:pPr>
        <w:pStyle w:val="Heading2"/>
        <w:spacing w:before="180" w:after="80"/>
      </w:pPr>
      <w:r>
        <w:rPr>
          <w:rFonts w:ascii="Arial" w:cs="Arial" w:eastAsia="Arial" w:hAnsi="Arial"/>
          <w:b/>
          <w:bCs/>
          <w:color w:val="2E75B6"/>
          <w:sz w:val="24"/>
          <w:szCs w:val="24"/>
        </w:rPr>
        <w:t xml:space="preserve">2. Overall Dealership Gross Margin %</w:t>
      </w:r>
    </w:p>
    <w:p>
      <w:pPr>
        <w:spacing w:before="20" w:after="20"/>
        <w:ind w:left="360"/>
      </w:pPr>
      <w:r>
        <w:rPr>
          <w:rFonts w:ascii="Arial" w:cs="Arial" w:eastAsia="Arial" w:hAnsi="Arial"/>
          <w:sz w:val="20"/>
          <w:szCs w:val="20"/>
        </w:rPr>
        <w:t xml:space="preserve">Current Year: 18.39%</w:t>
      </w:r>
    </w:p>
    <w:p>
      <w:pPr>
        <w:spacing w:before="20" w:after="20"/>
        <w:ind w:left="360"/>
      </w:pPr>
      <w:r>
        <w:rPr>
          <w:rFonts w:ascii="Arial" w:cs="Arial" w:eastAsia="Arial" w:hAnsi="Arial"/>
          <w:sz w:val="20"/>
          <w:szCs w:val="20"/>
        </w:rPr>
        <w:t xml:space="preserve">Year-over-Year Change: -1.94 percentage points (-9.6%)</w:t>
      </w:r>
    </w:p>
    <w:p>
      <w:pPr>
        <w:spacing w:before="20" w:after="20"/>
        <w:ind w:left="360"/>
      </w:pPr>
      <w:r>
        <w:rPr>
          <w:rFonts w:ascii="Arial" w:cs="Arial" w:eastAsia="Arial" w:hAnsi="Arial"/>
          <w:sz w:val="20"/>
          <w:szCs w:val="20"/>
        </w:rPr>
        <w:t xml:space="preserve">A-Class Average: 20.50% (89.7% of class)</w:t>
      </w:r>
    </w:p>
    <w:p>
      <w:pPr>
        <w:spacing w:before="20" w:after="20"/>
        <w:ind w:left="360"/>
      </w:pPr>
      <w:r>
        <w:rPr>
          <w:rFonts w:ascii="Arial" w:cs="Arial" w:eastAsia="Arial" w:hAnsi="Arial"/>
          <w:sz w:val="20"/>
          <w:szCs w:val="20"/>
        </w:rPr>
        <w:t xml:space="preserve">National Average: 21.55% (85.3%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w:t>
      </w:r>
    </w:p>
    <w:p>
      <w:pPr>
        <w:spacing w:before="60" w:after="100"/>
      </w:pPr>
      <w:r>
        <w:rPr>
          <w:rFonts w:ascii="Arial" w:cs="Arial" w:eastAsia="Arial" w:hAnsi="Arial"/>
          <w:sz w:val="20"/>
          <w:szCs w:val="20"/>
        </w:rPr>
        <w:t xml:space="preserve">The dealership's overall gross margin of 18.39% declined by 1.94 percentage points year-over-year. At 89.7% of the A-Class average (20.50%), the gross margin is below the peer group level. The A-Class average also declined by 0.41 percentage points, but the dealership's decline was more pronounced. This is assessed as substandard relative to the A-Class volume class average. The margin compression may reflect competitive pricing pressures in the current Canadian market environment and warrants attention to improve profitability.</w:t>
      </w:r>
    </w:p>
    <w:p>
      <w:pPr>
        <w:pStyle w:val="Heading2"/>
        <w:spacing w:before="180" w:after="80"/>
      </w:pPr>
      <w:r>
        <w:rPr>
          <w:rFonts w:ascii="Arial" w:cs="Arial" w:eastAsia="Arial" w:hAnsi="Arial"/>
          <w:b/>
          <w:bCs/>
          <w:color w:val="2E75B6"/>
          <w:sz w:val="24"/>
          <w:szCs w:val="24"/>
        </w:rPr>
        <w:t xml:space="preserve">3. Total ABC Product Gross Margin % (Excl. Service Labour)</w:t>
      </w:r>
    </w:p>
    <w:p>
      <w:pPr>
        <w:spacing w:before="20" w:after="20"/>
        <w:ind w:left="360"/>
      </w:pPr>
      <w:r>
        <w:rPr>
          <w:rFonts w:ascii="Arial" w:cs="Arial" w:eastAsia="Arial" w:hAnsi="Arial"/>
          <w:sz w:val="20"/>
          <w:szCs w:val="20"/>
        </w:rPr>
        <w:t xml:space="preserve">Current Year: 34.08%</w:t>
      </w:r>
    </w:p>
    <w:p>
      <w:pPr>
        <w:spacing w:before="20" w:after="20"/>
        <w:ind w:left="360"/>
      </w:pPr>
      <w:r>
        <w:rPr>
          <w:rFonts w:ascii="Arial" w:cs="Arial" w:eastAsia="Arial" w:hAnsi="Arial"/>
          <w:sz w:val="20"/>
          <w:szCs w:val="20"/>
        </w:rPr>
        <w:t xml:space="preserve">Year-over-Year Change: -0.25 percentage points (-0.7%)</w:t>
      </w:r>
    </w:p>
    <w:p>
      <w:pPr>
        <w:spacing w:before="20" w:after="20"/>
        <w:ind w:left="360"/>
      </w:pPr>
      <w:r>
        <w:rPr>
          <w:rFonts w:ascii="Arial" w:cs="Arial" w:eastAsia="Arial" w:hAnsi="Arial"/>
          <w:sz w:val="20"/>
          <w:szCs w:val="20"/>
        </w:rPr>
        <w:t xml:space="preserve">A-Class Average: 37.02% (92.0% of class)</w:t>
      </w:r>
    </w:p>
    <w:p>
      <w:pPr>
        <w:spacing w:before="20" w:after="20"/>
        <w:ind w:left="360"/>
      </w:pPr>
      <w:r>
        <w:rPr>
          <w:rFonts w:ascii="Arial" w:cs="Arial" w:eastAsia="Arial" w:hAnsi="Arial"/>
          <w:sz w:val="20"/>
          <w:szCs w:val="20"/>
        </w:rPr>
        <w:t xml:space="preserve">National Average: 37.06% (91.9%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w:t>
      </w:r>
    </w:p>
    <w:p>
      <w:pPr>
        <w:spacing w:before="60" w:after="100"/>
      </w:pPr>
      <w:r>
        <w:rPr>
          <w:rFonts w:ascii="Arial" w:cs="Arial" w:eastAsia="Arial" w:hAnsi="Arial"/>
          <w:sz w:val="20"/>
          <w:szCs w:val="20"/>
        </w:rPr>
        <w:t xml:space="preserve">At 34.08%, the ABC Product Gross Margin experienced a slight decline of 0.25 percentage points year-over-year. The dealership is at 92.0% of the A-Class average (37.02%) and 91.9% of the national average (37.06%). While the A-Class average improved slightly (+0.35 pp), the dealership's margin declined, placing it below both peer and national benchmarks. This is assessed as substandard and suggests the dealership should review its product pricing and margin management strategies.</w:t>
      </w:r>
    </w:p>
    <w:p>
      <w:pPr>
        <w:pStyle w:val="Heading2"/>
        <w:spacing w:before="180" w:after="80"/>
      </w:pPr>
      <w:r>
        <w:rPr>
          <w:rFonts w:ascii="Arial" w:cs="Arial" w:eastAsia="Arial" w:hAnsi="Arial"/>
          <w:b/>
          <w:bCs/>
          <w:color w:val="2E75B6"/>
          <w:sz w:val="24"/>
          <w:szCs w:val="24"/>
        </w:rPr>
        <w:t xml:space="preserve">4. Employee Wages as a % of Overall Dealership Sales</w:t>
      </w:r>
    </w:p>
    <w:p>
      <w:pPr>
        <w:spacing w:before="20" w:after="20"/>
        <w:ind w:left="360"/>
      </w:pPr>
      <w:r>
        <w:rPr>
          <w:rFonts w:ascii="Arial" w:cs="Arial" w:eastAsia="Arial" w:hAnsi="Arial"/>
          <w:sz w:val="20"/>
          <w:szCs w:val="20"/>
        </w:rPr>
        <w:t xml:space="preserve">Current Year: 7.07%</w:t>
      </w:r>
    </w:p>
    <w:p>
      <w:pPr>
        <w:spacing w:before="20" w:after="20"/>
        <w:ind w:left="360"/>
      </w:pPr>
      <w:r>
        <w:rPr>
          <w:rFonts w:ascii="Arial" w:cs="Arial" w:eastAsia="Arial" w:hAnsi="Arial"/>
          <w:sz w:val="20"/>
          <w:szCs w:val="20"/>
        </w:rPr>
        <w:t xml:space="preserve">Year-over-Year Change: -1.44 percentage points (-17.0%)</w:t>
      </w:r>
    </w:p>
    <w:p>
      <w:pPr>
        <w:spacing w:before="20" w:after="20"/>
        <w:ind w:left="360"/>
      </w:pPr>
      <w:r>
        <w:rPr>
          <w:rFonts w:ascii="Arial" w:cs="Arial" w:eastAsia="Arial" w:hAnsi="Arial"/>
          <w:sz w:val="20"/>
          <w:szCs w:val="20"/>
        </w:rPr>
        <w:t xml:space="preserve">A-Class Average: 6.89% (102.6% of class)</w:t>
      </w:r>
    </w:p>
    <w:p>
      <w:pPr>
        <w:spacing w:before="20" w:after="20"/>
        <w:ind w:left="360"/>
      </w:pPr>
      <w:r>
        <w:rPr>
          <w:rFonts w:ascii="Arial" w:cs="Arial" w:eastAsia="Arial" w:hAnsi="Arial"/>
          <w:sz w:val="20"/>
          <w:szCs w:val="20"/>
        </w:rPr>
        <w:t xml:space="preserve">National Average: 8.21% (86.1%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Within acceptable range</w:t>
      </w:r>
    </w:p>
    <w:p>
      <w:pPr>
        <w:spacing w:before="60" w:after="100"/>
      </w:pPr>
      <w:r>
        <w:rPr>
          <w:rFonts w:ascii="Arial" w:cs="Arial" w:eastAsia="Arial" w:hAnsi="Arial"/>
          <w:sz w:val="20"/>
          <w:szCs w:val="20"/>
        </w:rPr>
        <w:t xml:space="preserve">Employee wages represent 7.07% of overall dealership sales, showing a significant improvement of 1.44 percentage points year-over-year (-17.0%). The dealership is at 102.6% of the A-Class average (6.89%), which is within an acceptable range. Compared to the national average of 8.21%, the dealership maintains lower employee wage costs at 86.1% of the national level. This metric is assessed as within acceptable range, indicating reasonable wage cost management.</w:t>
      </w:r>
    </w:p>
    <w:p>
      <w:pPr>
        <w:pStyle w:val="Heading2"/>
        <w:spacing w:before="180" w:after="80"/>
      </w:pPr>
      <w:r>
        <w:rPr>
          <w:rFonts w:ascii="Arial" w:cs="Arial" w:eastAsia="Arial" w:hAnsi="Arial"/>
          <w:b/>
          <w:bCs/>
          <w:color w:val="2E75B6"/>
          <w:sz w:val="24"/>
          <w:szCs w:val="24"/>
        </w:rPr>
        <w:t xml:space="preserve">5. General Management &amp; Admin. Wages as a % of Overall Dealership Sales</w:t>
      </w:r>
    </w:p>
    <w:p>
      <w:pPr>
        <w:spacing w:before="20" w:after="20"/>
        <w:ind w:left="360"/>
      </w:pPr>
      <w:r>
        <w:rPr>
          <w:rFonts w:ascii="Arial" w:cs="Arial" w:eastAsia="Arial" w:hAnsi="Arial"/>
          <w:sz w:val="20"/>
          <w:szCs w:val="20"/>
        </w:rPr>
        <w:t xml:space="preserve">Current Year: 1.33%</w:t>
      </w:r>
    </w:p>
    <w:p>
      <w:pPr>
        <w:spacing w:before="20" w:after="20"/>
        <w:ind w:left="360"/>
      </w:pPr>
      <w:r>
        <w:rPr>
          <w:rFonts w:ascii="Arial" w:cs="Arial" w:eastAsia="Arial" w:hAnsi="Arial"/>
          <w:sz w:val="20"/>
          <w:szCs w:val="20"/>
        </w:rPr>
        <w:t xml:space="preserve">Year-over-Year Change: -0.48 percentage points (-26.6%)</w:t>
      </w:r>
    </w:p>
    <w:p>
      <w:pPr>
        <w:spacing w:before="20" w:after="20"/>
        <w:ind w:left="360"/>
      </w:pPr>
      <w:r>
        <w:rPr>
          <w:rFonts w:ascii="Arial" w:cs="Arial" w:eastAsia="Arial" w:hAnsi="Arial"/>
          <w:sz w:val="20"/>
          <w:szCs w:val="20"/>
        </w:rPr>
        <w:t xml:space="preserve">A-Class Average: 1.20% (110.5% of class)</w:t>
      </w:r>
    </w:p>
    <w:p>
      <w:pPr>
        <w:spacing w:before="20" w:after="20"/>
        <w:ind w:left="360"/>
      </w:pPr>
      <w:r>
        <w:rPr>
          <w:rFonts w:ascii="Arial" w:cs="Arial" w:eastAsia="Arial" w:hAnsi="Arial"/>
          <w:sz w:val="20"/>
          <w:szCs w:val="20"/>
        </w:rPr>
        <w:t xml:space="preserve">National Average: 1.97% (67.7%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Weak</w:t>
      </w:r>
    </w:p>
    <w:p>
      <w:pPr>
        <w:spacing w:before="60" w:after="100"/>
      </w:pPr>
      <w:r>
        <w:rPr>
          <w:rFonts w:ascii="Arial" w:cs="Arial" w:eastAsia="Arial" w:hAnsi="Arial"/>
          <w:sz w:val="20"/>
          <w:szCs w:val="20"/>
        </w:rPr>
        <w:t xml:space="preserve">GM &amp; Admin wages at 1.33% showed a significant improvement of 0.48 percentage points year-over-year. While at 110.5% of the A-Class average, this is an expense metric where values above 105% of the class average are considered weak. However, compared to the national average of 1.97%, the dealership is well below at 67.7% of national level. The year-over-year improvement is noteworthy. This is assessed as weak.</w:t>
      </w:r>
    </w:p>
    <w:p>
      <w:pPr>
        <w:pStyle w:val="Heading2"/>
        <w:spacing w:before="180" w:after="80"/>
      </w:pPr>
      <w:r>
        <w:rPr>
          <w:rFonts w:ascii="Arial" w:cs="Arial" w:eastAsia="Arial" w:hAnsi="Arial"/>
          <w:b/>
          <w:bCs/>
          <w:color w:val="2E75B6"/>
          <w:sz w:val="24"/>
          <w:szCs w:val="24"/>
        </w:rPr>
        <w:t xml:space="preserve">6. Advertising Dollars Per Unit Sold</w:t>
      </w:r>
    </w:p>
    <w:p>
      <w:pPr>
        <w:spacing w:before="20" w:after="20"/>
        <w:ind w:left="360"/>
      </w:pPr>
      <w:r>
        <w:rPr>
          <w:rFonts w:ascii="Arial" w:cs="Arial" w:eastAsia="Arial" w:hAnsi="Arial"/>
          <w:sz w:val="20"/>
          <w:szCs w:val="20"/>
        </w:rPr>
        <w:t xml:space="preserve">Current Year: $594.65</w:t>
      </w:r>
    </w:p>
    <w:p>
      <w:pPr>
        <w:spacing w:before="20" w:after="20"/>
        <w:ind w:left="360"/>
      </w:pPr>
      <w:r>
        <w:rPr>
          <w:rFonts w:ascii="Arial" w:cs="Arial" w:eastAsia="Arial" w:hAnsi="Arial"/>
          <w:sz w:val="20"/>
          <w:szCs w:val="20"/>
        </w:rPr>
        <w:t xml:space="preserve">Year-over-Year Change: +75.9% ($256.57 increase)</w:t>
      </w:r>
    </w:p>
    <w:p>
      <w:pPr>
        <w:spacing w:before="20" w:after="20"/>
        <w:ind w:left="360"/>
      </w:pPr>
      <w:r>
        <w:rPr>
          <w:rFonts w:ascii="Arial" w:cs="Arial" w:eastAsia="Arial" w:hAnsi="Arial"/>
          <w:sz w:val="20"/>
          <w:szCs w:val="20"/>
        </w:rPr>
        <w:t xml:space="preserve">A-Class Average: $478.60 (124.2% of class)</w:t>
      </w:r>
    </w:p>
    <w:p>
      <w:pPr>
        <w:spacing w:before="20" w:after="20"/>
        <w:ind w:left="360"/>
      </w:pPr>
      <w:r>
        <w:rPr>
          <w:rFonts w:ascii="Arial" w:cs="Arial" w:eastAsia="Arial" w:hAnsi="Arial"/>
          <w:sz w:val="20"/>
          <w:szCs w:val="20"/>
        </w:rPr>
        <w:t xml:space="preserve">National Average: $497.22 (119.6%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Advertising costs of $594.65 per unit sold increased substantially by +75.9% year-over-year. The dealership's advertising spend per unit is 124.2% of the A-Class average and 119.6% of the national average, indicating higher-than-peer advertising expenditure. While increased advertising can support market share objectives, the efficiency of this spending should be monitored closely to ensure adequate return on investment.</w:t>
      </w:r>
    </w:p>
    <w:p>
      <w:pPr>
        <w:pStyle w:val="Heading2"/>
        <w:spacing w:before="180" w:after="80"/>
      </w:pPr>
      <w:r>
        <w:rPr>
          <w:rFonts w:ascii="Arial" w:cs="Arial" w:eastAsia="Arial" w:hAnsi="Arial"/>
          <w:b/>
          <w:bCs/>
          <w:color w:val="2E75B6"/>
          <w:sz w:val="24"/>
          <w:szCs w:val="24"/>
        </w:rPr>
        <w:t xml:space="preserve">7. Advertising as a % of Net Sales</w:t>
      </w:r>
    </w:p>
    <w:p>
      <w:pPr>
        <w:spacing w:before="20" w:after="20"/>
        <w:ind w:left="360"/>
      </w:pPr>
      <w:r>
        <w:rPr>
          <w:rFonts w:ascii="Arial" w:cs="Arial" w:eastAsia="Arial" w:hAnsi="Arial"/>
          <w:sz w:val="20"/>
          <w:szCs w:val="20"/>
        </w:rPr>
        <w:t xml:space="preserve">Current Year: 2.29%</w:t>
      </w:r>
    </w:p>
    <w:p>
      <w:pPr>
        <w:spacing w:before="20" w:after="20"/>
        <w:ind w:left="360"/>
      </w:pPr>
      <w:r>
        <w:rPr>
          <w:rFonts w:ascii="Arial" w:cs="Arial" w:eastAsia="Arial" w:hAnsi="Arial"/>
          <w:sz w:val="20"/>
          <w:szCs w:val="20"/>
        </w:rPr>
        <w:t xml:space="preserve">Year-over-Year Change: 1.01 percentage points (+79.0%)</w:t>
      </w:r>
    </w:p>
    <w:p>
      <w:pPr>
        <w:spacing w:before="20" w:after="20"/>
        <w:ind w:left="360"/>
      </w:pPr>
      <w:r>
        <w:rPr>
          <w:rFonts w:ascii="Arial" w:cs="Arial" w:eastAsia="Arial" w:hAnsi="Arial"/>
          <w:sz w:val="20"/>
          <w:szCs w:val="20"/>
        </w:rPr>
        <w:t xml:space="preserve">A-Class Average: 1.81% (126.3% of class)</w:t>
      </w:r>
    </w:p>
    <w:p>
      <w:pPr>
        <w:spacing w:before="20" w:after="20"/>
        <w:ind w:left="360"/>
      </w:pPr>
      <w:r>
        <w:rPr>
          <w:rFonts w:ascii="Arial" w:cs="Arial" w:eastAsia="Arial" w:hAnsi="Arial"/>
          <w:sz w:val="20"/>
          <w:szCs w:val="20"/>
        </w:rPr>
        <w:t xml:space="preserve">National Average: 1.87% (122.6%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Advertising as a percentage of net sales increased to 2.29%, up 1.01 percentage points (+79.0%) year-over-year. At 126.3% of the A-Class average and 122.6% of the national average, advertising expenditure is above peer levels. Given the challenging Canadian market conditions, increased advertising may be necessary to maintain visibility, though ongoing monitoring of advertising effectiveness is recommended.</w:t>
      </w:r>
    </w:p>
    <w:p>
      <w:pPr>
        <w:pStyle w:val="Heading2"/>
        <w:spacing w:before="180" w:after="80"/>
      </w:pPr>
      <w:r>
        <w:rPr>
          <w:rFonts w:ascii="Arial" w:cs="Arial" w:eastAsia="Arial" w:hAnsi="Arial"/>
          <w:b/>
          <w:bCs/>
          <w:color w:val="2E75B6"/>
          <w:sz w:val="24"/>
          <w:szCs w:val="24"/>
        </w:rPr>
        <w:t xml:space="preserve">8. Total Operating Expenses as % of Net Sales</w:t>
      </w:r>
    </w:p>
    <w:p>
      <w:pPr>
        <w:spacing w:before="20" w:after="20"/>
        <w:ind w:left="360"/>
      </w:pPr>
      <w:r>
        <w:rPr>
          <w:rFonts w:ascii="Arial" w:cs="Arial" w:eastAsia="Arial" w:hAnsi="Arial"/>
          <w:sz w:val="20"/>
          <w:szCs w:val="20"/>
        </w:rPr>
        <w:t xml:space="preserve">Current Year: 18.86%</w:t>
      </w:r>
    </w:p>
    <w:p>
      <w:pPr>
        <w:spacing w:before="20" w:after="20"/>
        <w:ind w:left="360"/>
      </w:pPr>
      <w:r>
        <w:rPr>
          <w:rFonts w:ascii="Arial" w:cs="Arial" w:eastAsia="Arial" w:hAnsi="Arial"/>
          <w:sz w:val="20"/>
          <w:szCs w:val="20"/>
        </w:rPr>
        <w:t xml:space="preserve">Year-over-Year Change: -0.87 percentage points (-4.4%)</w:t>
      </w:r>
    </w:p>
    <w:p>
      <w:pPr>
        <w:spacing w:before="20" w:after="20"/>
        <w:ind w:left="360"/>
      </w:pPr>
      <w:r>
        <w:rPr>
          <w:rFonts w:ascii="Arial" w:cs="Arial" w:eastAsia="Arial" w:hAnsi="Arial"/>
          <w:sz w:val="20"/>
          <w:szCs w:val="20"/>
        </w:rPr>
        <w:t xml:space="preserve">A-Class Average: 20.66% (91.3% of class)</w:t>
      </w:r>
    </w:p>
    <w:p>
      <w:pPr>
        <w:spacing w:before="20" w:after="20"/>
        <w:ind w:left="360"/>
      </w:pPr>
      <w:r>
        <w:rPr>
          <w:rFonts w:ascii="Arial" w:cs="Arial" w:eastAsia="Arial" w:hAnsi="Arial"/>
          <w:sz w:val="20"/>
          <w:szCs w:val="20"/>
        </w:rPr>
        <w:t xml:space="preserve">National Average: 22.39% (84.2%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2E75B6"/>
          <w:sz w:val="20"/>
          <w:szCs w:val="20"/>
        </w:rPr>
        <w:t xml:space="preserve">Good</w:t>
      </w:r>
    </w:p>
    <w:p>
      <w:pPr>
        <w:spacing w:before="60" w:after="100"/>
      </w:pPr>
      <w:r>
        <w:rPr>
          <w:rFonts w:ascii="Arial" w:cs="Arial" w:eastAsia="Arial" w:hAnsi="Arial"/>
          <w:sz w:val="20"/>
          <w:szCs w:val="20"/>
        </w:rPr>
        <w:t xml:space="preserve">Total operating expenses at 18.86% of net sales improved by 0.87 percentage points year-over-year. At 91.3% of the A-Class average (20.66%), this represents strong expense management, well below both the peer group and national average of 22.39%. This is assessed as good, reflecting effective cost control throughout the dealership operations. This is a standout metric for the dealership.</w:t>
      </w:r>
    </w:p>
    <w:p>
      <w:pPr>
        <w:pStyle w:val="Heading2"/>
        <w:spacing w:before="180" w:after="80"/>
      </w:pPr>
      <w:r>
        <w:rPr>
          <w:rFonts w:ascii="Arial" w:cs="Arial" w:eastAsia="Arial" w:hAnsi="Arial"/>
          <w:b/>
          <w:bCs/>
          <w:color w:val="2E75B6"/>
          <w:sz w:val="24"/>
          <w:szCs w:val="24"/>
        </w:rPr>
        <w:t xml:space="preserve">9. Net Operating Profit Before Taxes and Non-Operating Income/Expenses ($)</w:t>
      </w:r>
    </w:p>
    <w:p>
      <w:pPr>
        <w:spacing w:before="20" w:after="20"/>
        <w:ind w:left="360"/>
      </w:pPr>
      <w:r>
        <w:rPr>
          <w:rFonts w:ascii="Arial" w:cs="Arial" w:eastAsia="Arial" w:hAnsi="Arial"/>
          <w:sz w:val="20"/>
          <w:szCs w:val="20"/>
        </w:rPr>
        <w:t xml:space="preserve">Current Year: $722,502.91</w:t>
      </w:r>
    </w:p>
    <w:p>
      <w:pPr>
        <w:spacing w:before="20" w:after="20"/>
        <w:ind w:left="360"/>
      </w:pPr>
      <w:r>
        <w:rPr>
          <w:rFonts w:ascii="Arial" w:cs="Arial" w:eastAsia="Arial" w:hAnsi="Arial"/>
          <w:sz w:val="20"/>
          <w:szCs w:val="20"/>
        </w:rPr>
        <w:t xml:space="preserve">Year-over-Year Change: +127.6% ($405,050.53 increase)</w:t>
      </w:r>
    </w:p>
    <w:p>
      <w:pPr>
        <w:spacing w:before="20" w:after="20"/>
        <w:ind w:left="360"/>
      </w:pPr>
      <w:r>
        <w:rPr>
          <w:rFonts w:ascii="Arial" w:cs="Arial" w:eastAsia="Arial" w:hAnsi="Arial"/>
          <w:sz w:val="20"/>
          <w:szCs w:val="20"/>
        </w:rPr>
        <w:t xml:space="preserve">A-Class Average: $308,820.74 (234.0% of class)</w:t>
      </w:r>
    </w:p>
    <w:p>
      <w:pPr>
        <w:spacing w:before="20" w:after="20"/>
        <w:ind w:left="360"/>
      </w:pPr>
      <w:r>
        <w:rPr>
          <w:rFonts w:ascii="Arial" w:cs="Arial" w:eastAsia="Arial" w:hAnsi="Arial"/>
          <w:sz w:val="20"/>
          <w:szCs w:val="20"/>
        </w:rPr>
        <w:t xml:space="preserve">National Average: $124,473.54 (580.4%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Net operating profit reached $722,502.91, an exceptional improvement of +127.6% ($405,050.53 increase) year-over-year. The dealership generates 234.0% of the A-Class average profit and 580.4% of the national average, significantly outperforming both benchmarks. This dramatic improvement in profitability is a major highlight for the dealership and demonstrates effective execution of both revenue growth and cost management strategies.</w:t>
      </w:r>
    </w:p>
    <w:p>
      <w:pPr>
        <w:pStyle w:val="Heading2"/>
        <w:spacing w:before="180" w:after="80"/>
      </w:pPr>
      <w:r>
        <w:rPr>
          <w:rFonts w:ascii="Arial" w:cs="Arial" w:eastAsia="Arial" w:hAnsi="Arial"/>
          <w:b/>
          <w:bCs/>
          <w:color w:val="2E75B6"/>
          <w:sz w:val="24"/>
          <w:szCs w:val="24"/>
        </w:rPr>
        <w:t xml:space="preserve">10. Net Operating Profit as a % of Net Sales (RETURN ON SALES)</w:t>
      </w:r>
    </w:p>
    <w:p>
      <w:pPr>
        <w:spacing w:before="20" w:after="20"/>
        <w:ind w:left="360"/>
      </w:pPr>
      <w:r>
        <w:rPr>
          <w:rFonts w:ascii="Arial" w:cs="Arial" w:eastAsia="Arial" w:hAnsi="Arial"/>
          <w:sz w:val="20"/>
          <w:szCs w:val="20"/>
        </w:rPr>
        <w:t xml:space="preserve">Current Year: 4.39%</w:t>
      </w:r>
    </w:p>
    <w:p>
      <w:pPr>
        <w:spacing w:before="20" w:after="20"/>
        <w:ind w:left="360"/>
      </w:pPr>
      <w:r>
        <w:rPr>
          <w:rFonts w:ascii="Arial" w:cs="Arial" w:eastAsia="Arial" w:hAnsi="Arial"/>
          <w:sz w:val="20"/>
          <w:szCs w:val="20"/>
        </w:rPr>
        <w:t xml:space="preserve">Year-over-Year Change: 2.33 percentage points (+113.2%)</w:t>
      </w:r>
    </w:p>
    <w:p>
      <w:pPr>
        <w:spacing w:before="20" w:after="20"/>
        <w:ind w:left="360"/>
      </w:pPr>
      <w:r>
        <w:rPr>
          <w:rFonts w:ascii="Arial" w:cs="Arial" w:eastAsia="Arial" w:hAnsi="Arial"/>
          <w:sz w:val="20"/>
          <w:szCs w:val="20"/>
        </w:rPr>
        <w:t xml:space="preserve">A-Class Average: 1.79% (246.0% of class)</w:t>
      </w:r>
    </w:p>
    <w:p>
      <w:pPr>
        <w:spacing w:before="20" w:after="20"/>
        <w:ind w:left="360"/>
      </w:pPr>
      <w:r>
        <w:rPr>
          <w:rFonts w:ascii="Arial" w:cs="Arial" w:eastAsia="Arial" w:hAnsi="Arial"/>
          <w:sz w:val="20"/>
          <w:szCs w:val="20"/>
        </w:rPr>
        <w:t xml:space="preserve">National Average: 1.05% (417.2%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Exceptional</w:t>
      </w:r>
    </w:p>
    <w:p>
      <w:pPr>
        <w:spacing w:before="60" w:after="100"/>
      </w:pPr>
      <w:r>
        <w:rPr>
          <w:rFonts w:ascii="Arial" w:cs="Arial" w:eastAsia="Arial" w:hAnsi="Arial"/>
          <w:sz w:val="20"/>
          <w:szCs w:val="20"/>
        </w:rPr>
        <w:t xml:space="preserve">Return on sales of 4.39% improved dramatically by 2.33 percentage points (+113.2%) year-over-year. At 246.0% of the A-Class average and 417.2% of the national average, the dealership significantly outperforms both peer and national benchmarks. This is assessed as exceptional, reflecting outstanding profitability relative to the volume class. The improvement is particularly impressive given the headwinds facing Canadian ABC-Moto dealerships.</w:t>
      </w:r>
    </w:p>
    <w:p>
      <w:pPr>
        <w:pStyle w:val="Heading2"/>
        <w:spacing w:before="180" w:after="80"/>
      </w:pPr>
      <w:r>
        <w:rPr>
          <w:rFonts w:ascii="Arial" w:cs="Arial" w:eastAsia="Arial" w:hAnsi="Arial"/>
          <w:b/>
          <w:bCs/>
          <w:color w:val="2E75B6"/>
          <w:sz w:val="24"/>
          <w:szCs w:val="24"/>
        </w:rPr>
        <w:t xml:space="preserve">11. Net Income (Loss) After Taxes ($)</w:t>
      </w:r>
    </w:p>
    <w:p>
      <w:pPr>
        <w:spacing w:before="20" w:after="20"/>
        <w:ind w:left="360"/>
      </w:pPr>
      <w:r>
        <w:rPr>
          <w:rFonts w:ascii="Arial" w:cs="Arial" w:eastAsia="Arial" w:hAnsi="Arial"/>
          <w:sz w:val="20"/>
          <w:szCs w:val="20"/>
        </w:rPr>
        <w:t xml:space="preserve">Current Year: $626,502.91</w:t>
      </w:r>
    </w:p>
    <w:p>
      <w:pPr>
        <w:spacing w:before="20" w:after="20"/>
        <w:ind w:left="360"/>
      </w:pPr>
      <w:r>
        <w:rPr>
          <w:rFonts w:ascii="Arial" w:cs="Arial" w:eastAsia="Arial" w:hAnsi="Arial"/>
          <w:sz w:val="20"/>
          <w:szCs w:val="20"/>
        </w:rPr>
        <w:t xml:space="preserve">Year-over-Year Change: +176.7% ($400,050.53 increase)</w:t>
      </w:r>
    </w:p>
    <w:p>
      <w:pPr>
        <w:spacing w:before="20" w:after="20"/>
        <w:ind w:left="360"/>
      </w:pPr>
      <w:r>
        <w:rPr>
          <w:rFonts w:ascii="Arial" w:cs="Arial" w:eastAsia="Arial" w:hAnsi="Arial"/>
          <w:sz w:val="20"/>
          <w:szCs w:val="20"/>
        </w:rPr>
        <w:t xml:space="preserve">A-Class Average: $211,652.53 (296.0% of class)</w:t>
      </w:r>
    </w:p>
    <w:p>
      <w:pPr>
        <w:spacing w:before="20" w:after="20"/>
        <w:ind w:left="360"/>
      </w:pPr>
      <w:r>
        <w:rPr>
          <w:rFonts w:ascii="Arial" w:cs="Arial" w:eastAsia="Arial" w:hAnsi="Arial"/>
          <w:sz w:val="20"/>
          <w:szCs w:val="20"/>
        </w:rPr>
        <w:t xml:space="preserve">National Average: $125,782.21 (498.1%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Net income after taxes of $626,502.91 increased by +176.7% year-over-year, a remarkable turnaround. The dealership generates 296.0% of the A-Class average and 498.1% of the national average in net income, substantially outperforming both benchmarks. This strong bottom-line performance underscores the effectiveness of the dealership's operational management.</w:t>
      </w:r>
    </w:p>
    <w:p>
      <w:pPr>
        <w:pStyle w:val="Heading2"/>
        <w:spacing w:before="180" w:after="80"/>
      </w:pPr>
      <w:r>
        <w:rPr>
          <w:rFonts w:ascii="Arial" w:cs="Arial" w:eastAsia="Arial" w:hAnsi="Arial"/>
          <w:b/>
          <w:bCs/>
          <w:color w:val="2E75B6"/>
          <w:sz w:val="24"/>
          <w:szCs w:val="24"/>
        </w:rPr>
        <w:t xml:space="preserve">12. Net Income (Loss) After Taxes as % of Sales</w:t>
      </w:r>
    </w:p>
    <w:p>
      <w:pPr>
        <w:spacing w:before="20" w:after="20"/>
        <w:ind w:left="360"/>
      </w:pPr>
      <w:r>
        <w:rPr>
          <w:rFonts w:ascii="Arial" w:cs="Arial" w:eastAsia="Arial" w:hAnsi="Arial"/>
          <w:sz w:val="20"/>
          <w:szCs w:val="20"/>
        </w:rPr>
        <w:t xml:space="preserve">Current Year: 3.81%</w:t>
      </w:r>
    </w:p>
    <w:p>
      <w:pPr>
        <w:spacing w:before="20" w:after="20"/>
        <w:ind w:left="360"/>
      </w:pPr>
      <w:r>
        <w:rPr>
          <w:rFonts w:ascii="Arial" w:cs="Arial" w:eastAsia="Arial" w:hAnsi="Arial"/>
          <w:sz w:val="20"/>
          <w:szCs w:val="20"/>
        </w:rPr>
        <w:t xml:space="preserve">Year-over-Year Change: 2.34 percentage points (+159.2%)</w:t>
      </w:r>
    </w:p>
    <w:p>
      <w:pPr>
        <w:spacing w:before="20" w:after="20"/>
        <w:ind w:left="360"/>
      </w:pPr>
      <w:r>
        <w:rPr>
          <w:rFonts w:ascii="Arial" w:cs="Arial" w:eastAsia="Arial" w:hAnsi="Arial"/>
          <w:sz w:val="20"/>
          <w:szCs w:val="20"/>
        </w:rPr>
        <w:t xml:space="preserve">A-Class Average: 1.22% (311.2% of class)</w:t>
      </w:r>
    </w:p>
    <w:p>
      <w:pPr>
        <w:spacing w:before="20" w:after="20"/>
        <w:ind w:left="360"/>
      </w:pPr>
      <w:r>
        <w:rPr>
          <w:rFonts w:ascii="Arial" w:cs="Arial" w:eastAsia="Arial" w:hAnsi="Arial"/>
          <w:sz w:val="20"/>
          <w:szCs w:val="20"/>
        </w:rPr>
        <w:t xml:space="preserve">National Average: 1.06% (358.0%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Net income as a percentage of sales stands at 3.81%, up 2.34 percentage points (+159.2%) year-over-year. At 311.2% of the A-Class average and 358.0% of the national average, this represents an outstanding performance relative to both peer group and network averages. The dealership has transformed from a modest net income position to a strong profitability posture.</w:t>
      </w:r>
    </w:p>
    <w:p>
      <w:pPr>
        <w:pStyle w:val="Heading2"/>
        <w:spacing w:before="180" w:after="80"/>
      </w:pPr>
      <w:r>
        <w:rPr>
          <w:rFonts w:ascii="Arial" w:cs="Arial" w:eastAsia="Arial" w:hAnsi="Arial"/>
          <w:b/>
          <w:bCs/>
          <w:color w:val="2E75B6"/>
          <w:sz w:val="24"/>
          <w:szCs w:val="24"/>
        </w:rPr>
        <w:t xml:space="preserve">13. Total Absorption</w:t>
      </w:r>
    </w:p>
    <w:p>
      <w:pPr>
        <w:spacing w:before="20" w:after="20"/>
        <w:ind w:left="360"/>
      </w:pPr>
      <w:r>
        <w:rPr>
          <w:rFonts w:ascii="Arial" w:cs="Arial" w:eastAsia="Arial" w:hAnsi="Arial"/>
          <w:sz w:val="20"/>
          <w:szCs w:val="20"/>
        </w:rPr>
        <w:t xml:space="preserve">Current Year: 81.15%</w:t>
      </w:r>
    </w:p>
    <w:p>
      <w:pPr>
        <w:spacing w:before="20" w:after="20"/>
        <w:ind w:left="360"/>
      </w:pPr>
      <w:r>
        <w:rPr>
          <w:rFonts w:ascii="Arial" w:cs="Arial" w:eastAsia="Arial" w:hAnsi="Arial"/>
          <w:sz w:val="20"/>
          <w:szCs w:val="20"/>
        </w:rPr>
        <w:t xml:space="preserve">Year-over-Year Change: 10.43 percentage points (+14.7%)</w:t>
      </w:r>
    </w:p>
    <w:p>
      <w:pPr>
        <w:spacing w:before="20" w:after="20"/>
        <w:ind w:left="360"/>
      </w:pPr>
      <w:r>
        <w:rPr>
          <w:rFonts w:ascii="Arial" w:cs="Arial" w:eastAsia="Arial" w:hAnsi="Arial"/>
          <w:sz w:val="20"/>
          <w:szCs w:val="20"/>
        </w:rPr>
        <w:t xml:space="preserve">A-Class Average: 74.51% (108.9% of class)</w:t>
      </w:r>
    </w:p>
    <w:p>
      <w:pPr>
        <w:spacing w:before="20" w:after="20"/>
        <w:ind w:left="360"/>
      </w:pPr>
      <w:r>
        <w:rPr>
          <w:rFonts w:ascii="Arial" w:cs="Arial" w:eastAsia="Arial" w:hAnsi="Arial"/>
          <w:sz w:val="20"/>
          <w:szCs w:val="20"/>
        </w:rPr>
        <w:t xml:space="preserve">National Average: 69.93% (116.0%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Within acceptable range</w:t>
      </w:r>
    </w:p>
    <w:p>
      <w:pPr>
        <w:spacing w:before="60" w:after="100"/>
      </w:pPr>
      <w:r>
        <w:rPr>
          <w:rFonts w:ascii="Arial" w:cs="Arial" w:eastAsia="Arial" w:hAnsi="Arial"/>
          <w:sz w:val="20"/>
          <w:szCs w:val="20"/>
        </w:rPr>
        <w:t xml:space="preserve">Total absorption improved significantly to 81.15%, up 10.43 percentage points (+14.7%) year-over-year. At 108.9% of the A-Class average and 116.0% of the national average, the dealership's fixed operations coverage exceeds both peer and national benchmarks. This is assessed as within acceptable range, indicating that the dealership's service, parts, and accessories operations provide strong overhead absorption.</w:t>
      </w:r>
    </w:p>
    <w:p>
      <w:pPr>
        <w:pStyle w:val="Heading2"/>
        <w:spacing w:before="180" w:after="80"/>
      </w:pPr>
      <w:r>
        <w:rPr>
          <w:rFonts w:ascii="Arial" w:cs="Arial" w:eastAsia="Arial" w:hAnsi="Arial"/>
          <w:b/>
          <w:bCs/>
          <w:color w:val="2E75B6"/>
          <w:sz w:val="24"/>
          <w:szCs w:val="24"/>
        </w:rPr>
        <w:t xml:space="preserve">14. CXI Net Promoter Score (NPS)</w:t>
      </w:r>
    </w:p>
    <w:p>
      <w:pPr>
        <w:spacing w:before="20" w:after="20"/>
        <w:ind w:left="360"/>
      </w:pPr>
      <w:r>
        <w:rPr>
          <w:rFonts w:ascii="Arial" w:cs="Arial" w:eastAsia="Arial" w:hAnsi="Arial"/>
          <w:sz w:val="20"/>
          <w:szCs w:val="20"/>
        </w:rPr>
        <w:t xml:space="preserve">Current Year: 87.5</w:t>
      </w:r>
    </w:p>
    <w:p>
      <w:pPr>
        <w:spacing w:before="20" w:after="20"/>
        <w:ind w:left="360"/>
      </w:pPr>
      <w:r>
        <w:rPr>
          <w:rFonts w:ascii="Arial" w:cs="Arial" w:eastAsia="Arial" w:hAnsi="Arial"/>
          <w:sz w:val="20"/>
          <w:szCs w:val="20"/>
        </w:rPr>
        <w:t xml:space="preserve">Year-over-Year Change: +2.35 points (+2.8%)</w:t>
      </w:r>
    </w:p>
    <w:p>
      <w:pPr>
        <w:spacing w:before="20" w:after="20"/>
        <w:ind w:left="360"/>
      </w:pPr>
      <w:r>
        <w:rPr>
          <w:rFonts w:ascii="Arial" w:cs="Arial" w:eastAsia="Arial" w:hAnsi="Arial"/>
          <w:sz w:val="20"/>
          <w:szCs w:val="20"/>
        </w:rPr>
        <w:t xml:space="preserve">A-Class Average: 90.5 (96.7% of class)</w:t>
      </w:r>
    </w:p>
    <w:p>
      <w:pPr>
        <w:spacing w:before="20" w:after="20"/>
        <w:ind w:left="360"/>
      </w:pPr>
      <w:r>
        <w:rPr>
          <w:rFonts w:ascii="Arial" w:cs="Arial" w:eastAsia="Arial" w:hAnsi="Arial"/>
          <w:sz w:val="20"/>
          <w:szCs w:val="20"/>
        </w:rPr>
        <w:t xml:space="preserve">National Average: 91.4 (95.7%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Within acceptable range</w:t>
      </w:r>
    </w:p>
    <w:p>
      <w:pPr>
        <w:spacing w:before="60" w:after="100"/>
      </w:pPr>
      <w:r>
        <w:rPr>
          <w:rFonts w:ascii="Arial" w:cs="Arial" w:eastAsia="Arial" w:hAnsi="Arial"/>
          <w:sz w:val="20"/>
          <w:szCs w:val="20"/>
        </w:rPr>
        <w:t xml:space="preserve">The CXI Net Promoter Score of 87.5 improved by 2.35 points year-over-year. At 96.7% of the A-Class average (90.5) and 95.7% of the national average (91.4), the score is slightly below peer levels. This is assessed as within acceptable range. While customer satisfaction is generally positive, there is room for improvement to match or exceed peer group performance levels.</w:t>
      </w:r>
    </w:p>
    <w:p>
      <w:pPr>
        <w:pStyle w:val="Heading2"/>
        <w:spacing w:before="180" w:after="80"/>
      </w:pPr>
      <w:r>
        <w:rPr>
          <w:rFonts w:ascii="Arial" w:cs="Arial" w:eastAsia="Arial" w:hAnsi="Arial"/>
          <w:b/>
          <w:bCs/>
          <w:color w:val="2E75B6"/>
          <w:sz w:val="24"/>
          <w:szCs w:val="24"/>
        </w:rPr>
        <w:t xml:space="preserve">15. New ABC Sales % Contribution within DAT</w:t>
      </w:r>
    </w:p>
    <w:p>
      <w:pPr>
        <w:spacing w:before="20" w:after="20"/>
        <w:ind w:left="360"/>
      </w:pPr>
      <w:r>
        <w:rPr>
          <w:rFonts w:ascii="Arial" w:cs="Arial" w:eastAsia="Arial" w:hAnsi="Arial"/>
          <w:sz w:val="20"/>
          <w:szCs w:val="20"/>
        </w:rPr>
        <w:t xml:space="preserve">Current Year: 77.07%</w:t>
      </w:r>
    </w:p>
    <w:p>
      <w:pPr>
        <w:spacing w:before="20" w:after="20"/>
        <w:ind w:left="360"/>
      </w:pPr>
      <w:r>
        <w:rPr>
          <w:rFonts w:ascii="Arial" w:cs="Arial" w:eastAsia="Arial" w:hAnsi="Arial"/>
          <w:sz w:val="20"/>
          <w:szCs w:val="20"/>
        </w:rPr>
        <w:t xml:space="preserve">Year-over-Year Change: 3.74 percentage points (+5.1%)</w:t>
      </w:r>
    </w:p>
    <w:p>
      <w:pPr>
        <w:spacing w:before="20" w:after="20"/>
        <w:ind w:left="360"/>
      </w:pPr>
      <w:r>
        <w:rPr>
          <w:rFonts w:ascii="Arial" w:cs="Arial" w:eastAsia="Arial" w:hAnsi="Arial"/>
          <w:sz w:val="20"/>
          <w:szCs w:val="20"/>
        </w:rPr>
        <w:t xml:space="preserve">A-Class Average: 64.07% (120.3% of class)</w:t>
      </w:r>
    </w:p>
    <w:p>
      <w:pPr>
        <w:spacing w:before="20" w:after="20"/>
        <w:ind w:left="360"/>
      </w:pPr>
      <w:r>
        <w:rPr>
          <w:rFonts w:ascii="Arial" w:cs="Arial" w:eastAsia="Arial" w:hAnsi="Arial"/>
          <w:sz w:val="20"/>
          <w:szCs w:val="20"/>
        </w:rPr>
        <w:t xml:space="preserve">National Average: 63.02% (122.3%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Exceptional</w:t>
      </w:r>
    </w:p>
    <w:p>
      <w:pPr>
        <w:spacing w:before="60" w:after="100"/>
      </w:pPr>
      <w:r>
        <w:rPr>
          <w:rFonts w:ascii="Arial" w:cs="Arial" w:eastAsia="Arial" w:hAnsi="Arial"/>
          <w:sz w:val="20"/>
          <w:szCs w:val="20"/>
        </w:rPr>
        <w:t xml:space="preserve">New ABC Sales Contribution within the Designated Area of Trading (DAT) stands at 77.07%, up 3.74 percentage points (+5.1%). At 120.3% of the A-Class average and 122.3% of the national average, the dealership significantly outperforms both benchmarks. This is assessed as exceptional, indicating an exceptionally strong market presence within the dealership's trading area.</w:t>
      </w:r>
    </w:p>
    <w:p>
      <w:pPr>
        <w:pStyle w:val="Heading2"/>
        <w:spacing w:before="180" w:after="80"/>
      </w:pPr>
      <w:r>
        <w:rPr>
          <w:rFonts w:ascii="Arial" w:cs="Arial" w:eastAsia="Arial" w:hAnsi="Arial"/>
          <w:b/>
          <w:bCs/>
          <w:color w:val="2E75B6"/>
          <w:sz w:val="24"/>
          <w:szCs w:val="24"/>
        </w:rPr>
        <w:t xml:space="preserve">16. Total Brand Market Share % within DAT (601cc+)</w:t>
      </w:r>
    </w:p>
    <w:p>
      <w:pPr>
        <w:spacing w:before="20" w:after="20"/>
        <w:ind w:left="360"/>
      </w:pPr>
      <w:r>
        <w:rPr>
          <w:rFonts w:ascii="Arial" w:cs="Arial" w:eastAsia="Arial" w:hAnsi="Arial"/>
          <w:sz w:val="20"/>
          <w:szCs w:val="20"/>
        </w:rPr>
        <w:t xml:space="preserve">Current Year: 33.84%</w:t>
      </w:r>
    </w:p>
    <w:p>
      <w:pPr>
        <w:spacing w:before="20" w:after="20"/>
        <w:ind w:left="360"/>
      </w:pPr>
      <w:r>
        <w:rPr>
          <w:rFonts w:ascii="Arial" w:cs="Arial" w:eastAsia="Arial" w:hAnsi="Arial"/>
          <w:sz w:val="20"/>
          <w:szCs w:val="20"/>
        </w:rPr>
        <w:t xml:space="preserve">Year-over-Year Change: -3.98 percentage points (-10.5%)</w:t>
      </w:r>
    </w:p>
    <w:p>
      <w:pPr>
        <w:spacing w:before="20" w:after="20"/>
        <w:ind w:left="360"/>
      </w:pPr>
      <w:r>
        <w:rPr>
          <w:rFonts w:ascii="Arial" w:cs="Arial" w:eastAsia="Arial" w:hAnsi="Arial"/>
          <w:sz w:val="20"/>
          <w:szCs w:val="20"/>
        </w:rPr>
        <w:t xml:space="preserve">A-Class Average: 23.30% (145.2% of class)</w:t>
      </w:r>
    </w:p>
    <w:p>
      <w:pPr>
        <w:spacing w:before="20" w:after="20"/>
        <w:ind w:left="360"/>
      </w:pPr>
      <w:r>
        <w:rPr>
          <w:rFonts w:ascii="Arial" w:cs="Arial" w:eastAsia="Arial" w:hAnsi="Arial"/>
          <w:sz w:val="20"/>
          <w:szCs w:val="20"/>
        </w:rPr>
        <w:t xml:space="preserve">National Average: 24.98% (135.5%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Exceptional</w:t>
      </w:r>
    </w:p>
    <w:p>
      <w:pPr>
        <w:spacing w:before="60" w:after="100"/>
      </w:pPr>
      <w:r>
        <w:rPr>
          <w:rFonts w:ascii="Arial" w:cs="Arial" w:eastAsia="Arial" w:hAnsi="Arial"/>
          <w:sz w:val="20"/>
          <w:szCs w:val="20"/>
        </w:rPr>
        <w:t xml:space="preserve">Total brand market share within the DAT (601cc+) stands at 33.84%, declining 3.98 percentage points year-over-year. However, at 145.2% of the A-Class average and 135.5% of the national average, the dealership still significantly exceeds both peer and national benchmarks. This is assessed as exceptional. The year-over-year decline is consistent with broader market trends as both A-Class (-0.84 pp) and national averages (-0.68 pp) also experienced declines.</w:t>
      </w:r>
    </w:p>
    <w:p>
      <w:pPr>
        <w:pStyle w:val="Heading2"/>
        <w:spacing w:before="180" w:after="80"/>
      </w:pPr>
      <w:r>
        <w:rPr>
          <w:rFonts w:ascii="Arial" w:cs="Arial" w:eastAsia="Arial" w:hAnsi="Arial"/>
          <w:b/>
          <w:bCs/>
          <w:color w:val="2E75B6"/>
          <w:sz w:val="24"/>
          <w:szCs w:val="24"/>
        </w:rPr>
        <w:t xml:space="preserve">17. Current Ratio</w:t>
      </w:r>
    </w:p>
    <w:p>
      <w:pPr>
        <w:spacing w:before="20" w:after="20"/>
        <w:ind w:left="360"/>
      </w:pPr>
      <w:r>
        <w:rPr>
          <w:rFonts w:ascii="Arial" w:cs="Arial" w:eastAsia="Arial" w:hAnsi="Arial"/>
          <w:sz w:val="20"/>
          <w:szCs w:val="20"/>
        </w:rPr>
        <w:t xml:space="preserve">Current Year: 1.88</w:t>
      </w:r>
    </w:p>
    <w:p>
      <w:pPr>
        <w:spacing w:before="20" w:after="20"/>
        <w:ind w:left="360"/>
      </w:pPr>
      <w:r>
        <w:rPr>
          <w:rFonts w:ascii="Arial" w:cs="Arial" w:eastAsia="Arial" w:hAnsi="Arial"/>
          <w:sz w:val="20"/>
          <w:szCs w:val="20"/>
        </w:rPr>
        <w:t xml:space="preserve">Year-over-Year Change: -0.14 (-6.7%)</w:t>
      </w:r>
    </w:p>
    <w:p>
      <w:pPr>
        <w:spacing w:before="20" w:after="20"/>
        <w:ind w:left="360"/>
      </w:pPr>
      <w:r>
        <w:rPr>
          <w:rFonts w:ascii="Arial" w:cs="Arial" w:eastAsia="Arial" w:hAnsi="Arial"/>
          <w:sz w:val="20"/>
          <w:szCs w:val="20"/>
        </w:rPr>
        <w:t xml:space="preserve">A-Class Average: 1.80 (104.5% of class)</w:t>
      </w:r>
    </w:p>
    <w:p>
      <w:pPr>
        <w:spacing w:before="20" w:after="20"/>
        <w:ind w:left="360"/>
      </w:pPr>
      <w:r>
        <w:rPr>
          <w:rFonts w:ascii="Arial" w:cs="Arial" w:eastAsia="Arial" w:hAnsi="Arial"/>
          <w:sz w:val="20"/>
          <w:szCs w:val="20"/>
        </w:rPr>
        <w:t xml:space="preserve">National Average: 1.83 (102.8%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Within acceptable range</w:t>
      </w:r>
    </w:p>
    <w:p>
      <w:pPr>
        <w:spacing w:before="60" w:after="100"/>
      </w:pPr>
      <w:r>
        <w:rPr>
          <w:rFonts w:ascii="Arial" w:cs="Arial" w:eastAsia="Arial" w:hAnsi="Arial"/>
          <w:sz w:val="20"/>
          <w:szCs w:val="20"/>
        </w:rPr>
        <w:t xml:space="preserve">The current ratio of 1.88 declined by 0.14 year-over-year. At 104.5% of the A-Class average (1.80) and 102.8% of the national average (1.83), the dealership's liquidity position is above both benchmarks. This is assessed as within acceptable range, indicating adequate short-term financial health. The ratio remains above 1.0, which is a positive indicator, though the year-over-year decline should be monitored.</w:t>
      </w:r>
    </w:p>
    <w:p>
      <w:pPr>
        <w:pStyle w:val="Heading2"/>
        <w:spacing w:before="180" w:after="80"/>
      </w:pPr>
      <w:r>
        <w:rPr>
          <w:rFonts w:ascii="Arial" w:cs="Arial" w:eastAsia="Arial" w:hAnsi="Arial"/>
          <w:b/>
          <w:bCs/>
          <w:color w:val="2E75B6"/>
          <w:sz w:val="24"/>
          <w:szCs w:val="24"/>
        </w:rPr>
        <w:t xml:space="preserve">18. Debt / Equity Ratio</w:t>
      </w:r>
    </w:p>
    <w:p>
      <w:pPr>
        <w:spacing w:before="20" w:after="20"/>
        <w:ind w:left="360"/>
      </w:pPr>
      <w:r>
        <w:rPr>
          <w:rFonts w:ascii="Arial" w:cs="Arial" w:eastAsia="Arial" w:hAnsi="Arial"/>
          <w:sz w:val="20"/>
          <w:szCs w:val="20"/>
        </w:rPr>
        <w:t xml:space="preserve">Current Year: 4.23</w:t>
      </w:r>
    </w:p>
    <w:p>
      <w:pPr>
        <w:spacing w:before="20" w:after="20"/>
        <w:ind w:left="360"/>
      </w:pPr>
      <w:r>
        <w:rPr>
          <w:rFonts w:ascii="Arial" w:cs="Arial" w:eastAsia="Arial" w:hAnsi="Arial"/>
          <w:sz w:val="20"/>
          <w:szCs w:val="20"/>
        </w:rPr>
        <w:t xml:space="preserve">Year-over-Year Change: +0.95 (+28.8%)</w:t>
      </w:r>
    </w:p>
    <w:p>
      <w:pPr>
        <w:spacing w:before="20" w:after="20"/>
        <w:ind w:left="360"/>
      </w:pPr>
      <w:r>
        <w:rPr>
          <w:rFonts w:ascii="Arial" w:cs="Arial" w:eastAsia="Arial" w:hAnsi="Arial"/>
          <w:sz w:val="20"/>
          <w:szCs w:val="20"/>
        </w:rPr>
        <w:t xml:space="preserve">A-Class Average: 1.75 (241.4% of class)</w:t>
      </w:r>
    </w:p>
    <w:p>
      <w:pPr>
        <w:spacing w:before="20" w:after="20"/>
        <w:ind w:left="360"/>
      </w:pPr>
      <w:r>
        <w:rPr>
          <w:rFonts w:ascii="Arial" w:cs="Arial" w:eastAsia="Arial" w:hAnsi="Arial"/>
          <w:sz w:val="20"/>
          <w:szCs w:val="20"/>
        </w:rPr>
        <w:t xml:space="preserve">National Average: 1.58 (267.3%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The debt/equity ratio of 4.23 increased by 0.95 year-over-year (+28.8%). At 241.4% of the A-Class average (1.75) and 267.3% of the national average (1.58), the dealership carries significantly higher leverage than both benchmarks. This elevated leverage position warrants monitoring, though the strong profitability performance helps mitigate the risk associated with higher debt levels.</w:t>
      </w:r>
    </w:p>
    <w:p>
      <w:pPr>
        <w:pStyle w:val="Heading2"/>
        <w:spacing w:before="180" w:after="80"/>
      </w:pPr>
      <w:r>
        <w:rPr>
          <w:rFonts w:ascii="Arial" w:cs="Arial" w:eastAsia="Arial" w:hAnsi="Arial"/>
          <w:b/>
          <w:bCs/>
          <w:color w:val="2E75B6"/>
          <w:sz w:val="24"/>
          <w:szCs w:val="24"/>
        </w:rPr>
        <w:t xml:space="preserve">19. Debt to TNW Ratio</w:t>
      </w:r>
    </w:p>
    <w:p>
      <w:pPr>
        <w:spacing w:before="20" w:after="20"/>
        <w:ind w:left="360"/>
      </w:pPr>
      <w:r>
        <w:rPr>
          <w:rFonts w:ascii="Arial" w:cs="Arial" w:eastAsia="Arial" w:hAnsi="Arial"/>
          <w:sz w:val="20"/>
          <w:szCs w:val="20"/>
        </w:rPr>
        <w:t xml:space="preserve">Current Year: 4.69</w:t>
      </w:r>
    </w:p>
    <w:p>
      <w:pPr>
        <w:spacing w:before="20" w:after="20"/>
        <w:ind w:left="360"/>
      </w:pPr>
      <w:r>
        <w:rPr>
          <w:rFonts w:ascii="Arial" w:cs="Arial" w:eastAsia="Arial" w:hAnsi="Arial"/>
          <w:sz w:val="20"/>
          <w:szCs w:val="20"/>
        </w:rPr>
        <w:t xml:space="preserve">Year-over-Year Change: +0.74 (+18.8%)</w:t>
      </w:r>
    </w:p>
    <w:p>
      <w:pPr>
        <w:spacing w:before="20" w:after="20"/>
        <w:ind w:left="360"/>
      </w:pPr>
      <w:r>
        <w:rPr>
          <w:rFonts w:ascii="Arial" w:cs="Arial" w:eastAsia="Arial" w:hAnsi="Arial"/>
          <w:sz w:val="20"/>
          <w:szCs w:val="20"/>
        </w:rPr>
        <w:t xml:space="preserve">A-Class Average: 2.45 (191.1% of class)</w:t>
      </w:r>
    </w:p>
    <w:p>
      <w:pPr>
        <w:spacing w:before="20" w:after="20"/>
        <w:ind w:left="360"/>
      </w:pPr>
      <w:r>
        <w:rPr>
          <w:rFonts w:ascii="Arial" w:cs="Arial" w:eastAsia="Arial" w:hAnsi="Arial"/>
          <w:sz w:val="20"/>
          <w:szCs w:val="20"/>
        </w:rPr>
        <w:t xml:space="preserve">National Average: 1.97 (238.6%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0000"/>
          <w:sz w:val="20"/>
          <w:szCs w:val="20"/>
        </w:rPr>
        <w:t xml:space="preserve">No benchmark Min/Max available</w:t>
      </w:r>
    </w:p>
    <w:p>
      <w:pPr>
        <w:spacing w:before="60" w:after="100"/>
      </w:pPr>
      <w:r>
        <w:rPr>
          <w:rFonts w:ascii="Arial" w:cs="Arial" w:eastAsia="Arial" w:hAnsi="Arial"/>
          <w:sz w:val="20"/>
          <w:szCs w:val="20"/>
        </w:rPr>
        <w:t xml:space="preserve">The debt to tangible net worth ratio of 4.69 increased by 0.74 year-over-year. At 191.1% of the A-Class average and 238.6% of the national average, the ratio is above peer levels. Similar to the debt/equity ratio, this indicates higher leverage, though the strong operational performance provides a degree of financial resilience.</w:t>
      </w:r>
    </w:p>
    <w:p>
      <w:pPr>
        <w:pStyle w:val="Heading2"/>
        <w:spacing w:before="180" w:after="80"/>
      </w:pPr>
      <w:r>
        <w:rPr>
          <w:rFonts w:ascii="Arial" w:cs="Arial" w:eastAsia="Arial" w:hAnsi="Arial"/>
          <w:b/>
          <w:bCs/>
          <w:color w:val="2E75B6"/>
          <w:sz w:val="24"/>
          <w:szCs w:val="24"/>
        </w:rPr>
        <w:t xml:space="preserve">20. Return on Operating Assets - YTD (ROA)</w:t>
      </w:r>
    </w:p>
    <w:p>
      <w:pPr>
        <w:spacing w:before="20" w:after="20"/>
        <w:ind w:left="360"/>
      </w:pPr>
      <w:r>
        <w:rPr>
          <w:rFonts w:ascii="Arial" w:cs="Arial" w:eastAsia="Arial" w:hAnsi="Arial"/>
          <w:sz w:val="20"/>
          <w:szCs w:val="20"/>
        </w:rPr>
        <w:t xml:space="preserve">Current Year: 7.47%</w:t>
      </w:r>
    </w:p>
    <w:p>
      <w:pPr>
        <w:spacing w:before="20" w:after="20"/>
        <w:ind w:left="360"/>
      </w:pPr>
      <w:r>
        <w:rPr>
          <w:rFonts w:ascii="Arial" w:cs="Arial" w:eastAsia="Arial" w:hAnsi="Arial"/>
          <w:sz w:val="20"/>
          <w:szCs w:val="20"/>
        </w:rPr>
        <w:t xml:space="preserve">Year-over-Year Change: 5.01 percentage points (+203.3%)</w:t>
      </w:r>
    </w:p>
    <w:p>
      <w:pPr>
        <w:spacing w:before="20" w:after="20"/>
        <w:ind w:left="360"/>
      </w:pPr>
      <w:r>
        <w:rPr>
          <w:rFonts w:ascii="Arial" w:cs="Arial" w:eastAsia="Arial" w:hAnsi="Arial"/>
          <w:sz w:val="20"/>
          <w:szCs w:val="20"/>
        </w:rPr>
        <w:t xml:space="preserve">A-Class Average: 2.25% (331.9% of class)</w:t>
      </w:r>
    </w:p>
    <w:p>
      <w:pPr>
        <w:spacing w:before="20" w:after="20"/>
        <w:ind w:left="360"/>
      </w:pPr>
      <w:r>
        <w:rPr>
          <w:rFonts w:ascii="Arial" w:cs="Arial" w:eastAsia="Arial" w:hAnsi="Arial"/>
          <w:sz w:val="20"/>
          <w:szCs w:val="20"/>
        </w:rPr>
        <w:t xml:space="preserve">National Average: 1.79% (417.9% of national)</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Exceptional</w:t>
      </w:r>
    </w:p>
    <w:p>
      <w:pPr>
        <w:spacing w:before="60" w:after="100"/>
      </w:pPr>
      <w:r>
        <w:rPr>
          <w:rFonts w:ascii="Arial" w:cs="Arial" w:eastAsia="Arial" w:hAnsi="Arial"/>
          <w:sz w:val="20"/>
          <w:szCs w:val="20"/>
        </w:rPr>
        <w:t xml:space="preserve">Return on Operating Assets of 7.47% improved dramatically by 5.01 percentage points (+203.3%) year-over-year. At 331.9% of the A-Class average and 417.9% of the national average, the dealership significantly outperforms both benchmarks. This is assessed as exceptional, representing an exceptional return on the assets deployed in the business and reflecting the strong profitability turnaround.</w:t>
      </w:r>
    </w:p>
    <w:p>
      <w:r>
        <w:br w:type="page"/>
      </w:r>
    </w:p>
    <w:p>
      <w:pPr>
        <w:pStyle w:val="Heading1"/>
        <w:spacing w:before="200" w:after="120"/>
      </w:pPr>
      <w:r>
        <w:rPr>
          <w:rFonts w:ascii="Arial" w:cs="Arial" w:eastAsia="Arial" w:hAnsi="Arial"/>
          <w:b/>
          <w:bCs/>
          <w:color w:val="1F3864"/>
          <w:sz w:val="28"/>
          <w:szCs w:val="28"/>
        </w:rPr>
        <w:t xml:space="preserve">Performance Score Assessment</w:t>
      </w:r>
    </w:p>
    <w:p>
      <w:pPr>
        <w:pStyle w:val="Heading2"/>
        <w:spacing w:before="160" w:after="80"/>
      </w:pPr>
      <w:r>
        <w:rPr>
          <w:rFonts w:ascii="Arial" w:cs="Arial" w:eastAsia="Arial" w:hAnsi="Arial"/>
          <w:b/>
          <w:bCs/>
          <w:color w:val="2E75B6"/>
          <w:sz w:val="24"/>
          <w:szCs w:val="24"/>
        </w:rPr>
        <w:t xml:space="preserve">1. Financial Performance (30% weight)</w:t>
      </w:r>
    </w:p>
    <w:p>
      <w:pPr>
        <w:spacing w:before="40" w:after="40"/>
      </w:pPr>
      <w:r>
        <w:rPr>
          <w:rFonts w:ascii="Arial" w:cs="Arial" w:eastAsia="Arial" w:hAnsi="Arial"/>
          <w:b/>
          <w:bCs/>
          <w:sz w:val="22"/>
          <w:szCs w:val="22"/>
        </w:rPr>
        <w:t xml:space="preserve">Score: </w:t>
      </w:r>
      <w:r>
        <w:rPr>
          <w:rFonts w:ascii="Arial" w:cs="Arial" w:eastAsia="Arial" w:hAnsi="Arial"/>
          <w:b/>
          <w:bCs/>
          <w:color w:val="2E75B6"/>
          <w:sz w:val="22"/>
          <w:szCs w:val="22"/>
        </w:rPr>
        <w:t xml:space="preserve">62/100</w:t>
      </w:r>
    </w:p>
    <w:p>
      <w:pPr>
        <w:spacing w:before="40" w:after="20"/>
      </w:pPr>
      <w:r>
        <w:rPr>
          <w:rFonts w:ascii="Arial" w:cs="Arial" w:eastAsia="Arial" w:hAnsi="Arial"/>
          <w:b/>
          <w:bCs/>
          <w:i/>
          <w:iCs/>
          <w:sz w:val="20"/>
          <w:szCs w:val="20"/>
        </w:rPr>
        <w:t xml:space="preserve">Primary Factors:</w:t>
      </w:r>
    </w:p>
    <w:p>
      <w:pPr>
        <w:spacing w:before="15" w:after="15"/>
        <w:ind w:left="360"/>
      </w:pPr>
      <w:r>
        <w:rPr>
          <w:rFonts w:ascii="Arial" w:cs="Arial" w:eastAsia="Arial" w:hAnsi="Arial"/>
          <w:sz w:val="20"/>
          <w:szCs w:val="20"/>
        </w:rPr>
        <w:t xml:space="preserve">- Overall gross margin below A-Class average at 89.7% of class</w:t>
      </w:r>
    </w:p>
    <w:p>
      <w:pPr>
        <w:spacing w:before="15" w:after="15"/>
        <w:ind w:left="360"/>
      </w:pPr>
      <w:r>
        <w:rPr>
          <w:rFonts w:ascii="Arial" w:cs="Arial" w:eastAsia="Arial" w:hAnsi="Arial"/>
          <w:sz w:val="20"/>
          <w:szCs w:val="20"/>
        </w:rPr>
        <w:t xml:space="preserve">- ABC Product gross margin slightly below peer at 92.0% of class</w:t>
      </w:r>
    </w:p>
    <w:p>
      <w:pPr>
        <w:spacing w:before="15" w:after="15"/>
        <w:ind w:left="360"/>
      </w:pPr>
      <w:r>
        <w:rPr>
          <w:rFonts w:ascii="Arial" w:cs="Arial" w:eastAsia="Arial" w:hAnsi="Arial"/>
          <w:sz w:val="20"/>
          <w:szCs w:val="20"/>
        </w:rPr>
        <w:t xml:space="preserve">- Exceptional net operating profit growth (+127.6% YoY)</w:t>
      </w:r>
    </w:p>
    <w:p>
      <w:pPr>
        <w:spacing w:before="15" w:after="15"/>
        <w:ind w:left="360"/>
      </w:pPr>
      <w:r>
        <w:rPr>
          <w:rFonts w:ascii="Arial" w:cs="Arial" w:eastAsia="Arial" w:hAnsi="Arial"/>
          <w:sz w:val="20"/>
          <w:szCs w:val="20"/>
        </w:rPr>
        <w:t xml:space="preserve">- Return on sales at 4.39% significantly exceeds A-Class average (1.79%)</w:t>
      </w:r>
    </w:p>
    <w:p>
      <w:pPr>
        <w:spacing w:before="15" w:after="15"/>
        <w:ind w:left="360"/>
      </w:pPr>
      <w:r>
        <w:rPr>
          <w:rFonts w:ascii="Arial" w:cs="Arial" w:eastAsia="Arial" w:hAnsi="Arial"/>
          <w:sz w:val="20"/>
          <w:szCs w:val="20"/>
        </w:rPr>
        <w:t xml:space="preserve">- Net income dramatically improved (+176.7% YoY)</w:t>
      </w:r>
    </w:p>
    <w:p>
      <w:pPr>
        <w:spacing w:before="15" w:after="15"/>
        <w:ind w:left="360"/>
      </w:pPr>
      <w:r>
        <w:rPr>
          <w:rFonts w:ascii="Arial" w:cs="Arial" w:eastAsia="Arial" w:hAnsi="Arial"/>
          <w:sz w:val="20"/>
          <w:szCs w:val="20"/>
        </w:rPr>
        <w:t xml:space="preserve">- Gross margin decline of 1.94 pp warrants attention</w:t>
      </w:r>
    </w:p>
    <w:p>
      <w:pPr>
        <w:pStyle w:val="Heading2"/>
        <w:spacing w:before="160" w:after="80"/>
      </w:pPr>
      <w:r>
        <w:rPr>
          <w:rFonts w:ascii="Arial" w:cs="Arial" w:eastAsia="Arial" w:hAnsi="Arial"/>
          <w:b/>
          <w:bCs/>
          <w:color w:val="2E75B6"/>
          <w:sz w:val="24"/>
          <w:szCs w:val="24"/>
        </w:rPr>
        <w:t xml:space="preserve">2. Operational Efficiency &amp; Expense Management (25% weight)</w:t>
      </w:r>
    </w:p>
    <w:p>
      <w:pPr>
        <w:spacing w:before="40" w:after="40"/>
      </w:pPr>
      <w:r>
        <w:rPr>
          <w:rFonts w:ascii="Arial" w:cs="Arial" w:eastAsia="Arial" w:hAnsi="Arial"/>
          <w:b/>
          <w:bCs/>
          <w:sz w:val="22"/>
          <w:szCs w:val="22"/>
        </w:rPr>
        <w:t xml:space="preserve">Score: </w:t>
      </w:r>
      <w:r>
        <w:rPr>
          <w:rFonts w:ascii="Arial" w:cs="Arial" w:eastAsia="Arial" w:hAnsi="Arial"/>
          <w:b/>
          <w:bCs/>
          <w:color w:val="006400"/>
          <w:sz w:val="22"/>
          <w:szCs w:val="22"/>
        </w:rPr>
        <w:t xml:space="preserve">78/100</w:t>
      </w:r>
    </w:p>
    <w:p>
      <w:pPr>
        <w:spacing w:before="40" w:after="20"/>
      </w:pPr>
      <w:r>
        <w:rPr>
          <w:rFonts w:ascii="Arial" w:cs="Arial" w:eastAsia="Arial" w:hAnsi="Arial"/>
          <w:b/>
          <w:bCs/>
          <w:i/>
          <w:iCs/>
          <w:sz w:val="20"/>
          <w:szCs w:val="20"/>
        </w:rPr>
        <w:t xml:space="preserve">Primary Factors:</w:t>
      </w:r>
    </w:p>
    <w:p>
      <w:pPr>
        <w:spacing w:before="15" w:after="15"/>
        <w:ind w:left="360"/>
      </w:pPr>
      <w:r>
        <w:rPr>
          <w:rFonts w:ascii="Arial" w:cs="Arial" w:eastAsia="Arial" w:hAnsi="Arial"/>
          <w:sz w:val="20"/>
          <w:szCs w:val="20"/>
        </w:rPr>
        <w:t xml:space="preserve">- Total operating expenses at 18.86% of sales - exceptional (91.3% of class)</w:t>
      </w:r>
    </w:p>
    <w:p>
      <w:pPr>
        <w:spacing w:before="15" w:after="15"/>
        <w:ind w:left="360"/>
      </w:pPr>
      <w:r>
        <w:rPr>
          <w:rFonts w:ascii="Arial" w:cs="Arial" w:eastAsia="Arial" w:hAnsi="Arial"/>
          <w:sz w:val="20"/>
          <w:szCs w:val="20"/>
        </w:rPr>
        <w:t xml:space="preserve">- Employee wages well managed at 7.07% of sales</w:t>
      </w:r>
    </w:p>
    <w:p>
      <w:pPr>
        <w:spacing w:before="15" w:after="15"/>
        <w:ind w:left="360"/>
      </w:pPr>
      <w:r>
        <w:rPr>
          <w:rFonts w:ascii="Arial" w:cs="Arial" w:eastAsia="Arial" w:hAnsi="Arial"/>
          <w:sz w:val="20"/>
          <w:szCs w:val="20"/>
        </w:rPr>
        <w:t xml:space="preserve">- GM &amp; Admin wages improved significantly (-26.6% YoY)</w:t>
      </w:r>
    </w:p>
    <w:p>
      <w:pPr>
        <w:spacing w:before="15" w:after="15"/>
        <w:ind w:left="360"/>
      </w:pPr>
      <w:r>
        <w:rPr>
          <w:rFonts w:ascii="Arial" w:cs="Arial" w:eastAsia="Arial" w:hAnsi="Arial"/>
          <w:sz w:val="20"/>
          <w:szCs w:val="20"/>
        </w:rPr>
        <w:t xml:space="preserve">- Strong total absorption at 81.1%, exceeding peer averages</w:t>
      </w:r>
    </w:p>
    <w:p>
      <w:pPr>
        <w:spacing w:before="15" w:after="15"/>
        <w:ind w:left="360"/>
      </w:pPr>
      <w:r>
        <w:rPr>
          <w:rFonts w:ascii="Arial" w:cs="Arial" w:eastAsia="Arial" w:hAnsi="Arial"/>
          <w:sz w:val="20"/>
          <w:szCs w:val="20"/>
        </w:rPr>
        <w:t xml:space="preserve">- Advertising costs elevated at 124.2% of class average</w:t>
      </w:r>
    </w:p>
    <w:p>
      <w:pPr>
        <w:pStyle w:val="Heading2"/>
        <w:spacing w:before="160" w:after="80"/>
      </w:pPr>
      <w:r>
        <w:rPr>
          <w:rFonts w:ascii="Arial" w:cs="Arial" w:eastAsia="Arial" w:hAnsi="Arial"/>
          <w:b/>
          <w:bCs/>
          <w:color w:val="2E75B6"/>
          <w:sz w:val="24"/>
          <w:szCs w:val="24"/>
        </w:rPr>
        <w:t xml:space="preserve">3. Market Position &amp; Customer Satisfaction (20% weight)</w:t>
      </w:r>
    </w:p>
    <w:p>
      <w:pPr>
        <w:spacing w:before="40" w:after="40"/>
      </w:pPr>
      <w:r>
        <w:rPr>
          <w:rFonts w:ascii="Arial" w:cs="Arial" w:eastAsia="Arial" w:hAnsi="Arial"/>
          <w:b/>
          <w:bCs/>
          <w:sz w:val="22"/>
          <w:szCs w:val="22"/>
        </w:rPr>
        <w:t xml:space="preserve">Score: </w:t>
      </w:r>
      <w:r>
        <w:rPr>
          <w:rFonts w:ascii="Arial" w:cs="Arial" w:eastAsia="Arial" w:hAnsi="Arial"/>
          <w:b/>
          <w:bCs/>
          <w:color w:val="2E75B6"/>
          <w:sz w:val="22"/>
          <w:szCs w:val="22"/>
        </w:rPr>
        <w:t xml:space="preserve">72/100</w:t>
      </w:r>
    </w:p>
    <w:p>
      <w:pPr>
        <w:spacing w:before="40" w:after="20"/>
      </w:pPr>
      <w:r>
        <w:rPr>
          <w:rFonts w:ascii="Arial" w:cs="Arial" w:eastAsia="Arial" w:hAnsi="Arial"/>
          <w:b/>
          <w:bCs/>
          <w:i/>
          <w:iCs/>
          <w:sz w:val="20"/>
          <w:szCs w:val="20"/>
        </w:rPr>
        <w:t xml:space="preserve">Primary Factors:</w:t>
      </w:r>
    </w:p>
    <w:p>
      <w:pPr>
        <w:spacing w:before="15" w:after="15"/>
        <w:ind w:left="360"/>
      </w:pPr>
      <w:r>
        <w:rPr>
          <w:rFonts w:ascii="Arial" w:cs="Arial" w:eastAsia="Arial" w:hAnsi="Arial"/>
          <w:sz w:val="20"/>
          <w:szCs w:val="20"/>
        </w:rPr>
        <w:t xml:space="preserve">- New ABC Sales Contribution within DAT at 77.1% - great (120.3% of class)</w:t>
      </w:r>
    </w:p>
    <w:p>
      <w:pPr>
        <w:spacing w:before="15" w:after="15"/>
        <w:ind w:left="360"/>
      </w:pPr>
      <w:r>
        <w:rPr>
          <w:rFonts w:ascii="Arial" w:cs="Arial" w:eastAsia="Arial" w:hAnsi="Arial"/>
          <w:sz w:val="20"/>
          <w:szCs w:val="20"/>
        </w:rPr>
        <w:t xml:space="preserve">- Brand market share at 33.8% - great (145.2% of class)</w:t>
      </w:r>
    </w:p>
    <w:p>
      <w:pPr>
        <w:spacing w:before="15" w:after="15"/>
        <w:ind w:left="360"/>
      </w:pPr>
      <w:r>
        <w:rPr>
          <w:rFonts w:ascii="Arial" w:cs="Arial" w:eastAsia="Arial" w:hAnsi="Arial"/>
          <w:sz w:val="20"/>
          <w:szCs w:val="20"/>
        </w:rPr>
        <w:t xml:space="preserve">- CXI NPS at 87.5 - slightly below class average (96.7% of class)</w:t>
      </w:r>
    </w:p>
    <w:p>
      <w:pPr>
        <w:spacing w:before="15" w:after="15"/>
        <w:ind w:left="360"/>
      </w:pPr>
      <w:r>
        <w:rPr>
          <w:rFonts w:ascii="Arial" w:cs="Arial" w:eastAsia="Arial" w:hAnsi="Arial"/>
          <w:sz w:val="20"/>
          <w:szCs w:val="20"/>
        </w:rPr>
        <w:t xml:space="preserve">- Market share declined 3.98 pp YoY, though peer declines similar</w:t>
      </w:r>
    </w:p>
    <w:p>
      <w:pPr>
        <w:spacing w:before="15" w:after="15"/>
        <w:ind w:left="360"/>
      </w:pPr>
      <w:r>
        <w:rPr>
          <w:rFonts w:ascii="Arial" w:cs="Arial" w:eastAsia="Arial" w:hAnsi="Arial"/>
          <w:sz w:val="20"/>
          <w:szCs w:val="20"/>
        </w:rPr>
        <w:t xml:space="preserve">- Strong local market dominance maintained</w:t>
      </w:r>
    </w:p>
    <w:p>
      <w:pPr>
        <w:pStyle w:val="Heading2"/>
        <w:spacing w:before="160" w:after="80"/>
      </w:pPr>
      <w:r>
        <w:rPr>
          <w:rFonts w:ascii="Arial" w:cs="Arial" w:eastAsia="Arial" w:hAnsi="Arial"/>
          <w:b/>
          <w:bCs/>
          <w:color w:val="2E75B6"/>
          <w:sz w:val="24"/>
          <w:szCs w:val="24"/>
        </w:rPr>
        <w:t xml:space="preserve">4. Financial Health &amp; Stability (25% weight)</w:t>
      </w:r>
    </w:p>
    <w:p>
      <w:pPr>
        <w:spacing w:before="40" w:after="40"/>
      </w:pPr>
      <w:r>
        <w:rPr>
          <w:rFonts w:ascii="Arial" w:cs="Arial" w:eastAsia="Arial" w:hAnsi="Arial"/>
          <w:b/>
          <w:bCs/>
          <w:sz w:val="22"/>
          <w:szCs w:val="22"/>
        </w:rPr>
        <w:t xml:space="preserve">Score: </w:t>
      </w:r>
      <w:r>
        <w:rPr>
          <w:rFonts w:ascii="Arial" w:cs="Arial" w:eastAsia="Arial" w:hAnsi="Arial"/>
          <w:b/>
          <w:bCs/>
          <w:color w:val="2E75B6"/>
          <w:sz w:val="22"/>
          <w:szCs w:val="22"/>
        </w:rPr>
        <w:t xml:space="preserve">58/100</w:t>
      </w:r>
    </w:p>
    <w:p>
      <w:pPr>
        <w:spacing w:before="40" w:after="20"/>
      </w:pPr>
      <w:r>
        <w:rPr>
          <w:rFonts w:ascii="Arial" w:cs="Arial" w:eastAsia="Arial" w:hAnsi="Arial"/>
          <w:b/>
          <w:bCs/>
          <w:i/>
          <w:iCs/>
          <w:sz w:val="20"/>
          <w:szCs w:val="20"/>
        </w:rPr>
        <w:t xml:space="preserve">Primary Factors:</w:t>
      </w:r>
    </w:p>
    <w:p>
      <w:pPr>
        <w:spacing w:before="15" w:after="15"/>
        <w:ind w:left="360"/>
      </w:pPr>
      <w:r>
        <w:rPr>
          <w:rFonts w:ascii="Arial" w:cs="Arial" w:eastAsia="Arial" w:hAnsi="Arial"/>
          <w:sz w:val="20"/>
          <w:szCs w:val="20"/>
        </w:rPr>
        <w:t xml:space="preserve">- Current ratio at 1.88 - within acceptable range above 1.0</w:t>
      </w:r>
    </w:p>
    <w:p>
      <w:pPr>
        <w:spacing w:before="15" w:after="15"/>
        <w:ind w:left="360"/>
      </w:pPr>
      <w:r>
        <w:rPr>
          <w:rFonts w:ascii="Arial" w:cs="Arial" w:eastAsia="Arial" w:hAnsi="Arial"/>
          <w:sz w:val="20"/>
          <w:szCs w:val="20"/>
        </w:rPr>
        <w:t xml:space="preserve">- Debt/equity ratio elevated at 4.23 vs A-Class average of 1.75</w:t>
      </w:r>
    </w:p>
    <w:p>
      <w:pPr>
        <w:spacing w:before="15" w:after="15"/>
        <w:ind w:left="360"/>
      </w:pPr>
      <w:r>
        <w:rPr>
          <w:rFonts w:ascii="Arial" w:cs="Arial" w:eastAsia="Arial" w:hAnsi="Arial"/>
          <w:sz w:val="20"/>
          <w:szCs w:val="20"/>
        </w:rPr>
        <w:t xml:space="preserve">- Debt to TNW ratio elevated at 4.69 vs class average of 2.45</w:t>
      </w:r>
    </w:p>
    <w:p>
      <w:pPr>
        <w:spacing w:before="15" w:after="15"/>
        <w:ind w:left="360"/>
      </w:pPr>
      <w:r>
        <w:rPr>
          <w:rFonts w:ascii="Arial" w:cs="Arial" w:eastAsia="Arial" w:hAnsi="Arial"/>
          <w:sz w:val="20"/>
          <w:szCs w:val="20"/>
        </w:rPr>
        <w:t xml:space="preserve">- ROA exceptional at 7.47% vs class average of 2.25%</w:t>
      </w:r>
    </w:p>
    <w:p>
      <w:pPr>
        <w:spacing w:before="15" w:after="15"/>
        <w:ind w:left="360"/>
      </w:pPr>
      <w:r>
        <w:rPr>
          <w:rFonts w:ascii="Arial" w:cs="Arial" w:eastAsia="Arial" w:hAnsi="Arial"/>
          <w:sz w:val="20"/>
          <w:szCs w:val="20"/>
        </w:rPr>
        <w:t xml:space="preserve">- Higher leverage position is a concern offset by strong profitability</w:t>
      </w:r>
    </w:p>
    <w:p>
      <w:pPr>
        <w:pStyle w:val="Heading2"/>
        <w:spacing w:before="200" w:after="120"/>
      </w:pPr>
      <w:r>
        <w:rPr>
          <w:rFonts w:ascii="Arial" w:cs="Arial" w:eastAsia="Arial" w:hAnsi="Arial"/>
          <w:b/>
          <w:bCs/>
          <w:color w:val="1F3864"/>
          <w:sz w:val="24"/>
          <w:szCs w:val="24"/>
        </w:rPr>
        <w:t xml:space="preserve">Overall Financial Performance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560"/>
        <w:gridCol w:w="140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Performance Category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Weighted Score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Rating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Financial Performance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18.6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Operational Efficiency &amp; Expense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6400"/>
                <w:sz w:val="20"/>
                <w:szCs w:val="20"/>
              </w:rPr>
              <w:t xml:space="preserve">78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6400"/>
                <w:sz w:val="20"/>
                <w:szCs w:val="20"/>
              </w:rPr>
              <w:t xml:space="preserve">Strong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Market Position &amp; Customer Satisfaction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72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14.4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Financial Health &amp; Stability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14.5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100%</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67.0</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Above Average</w:t>
            </w:r>
          </w:p>
        </w:tc>
      </w:tr>
    </w:tbl>
    <w:p>
      <w:pPr>
        <w:spacing w:before="120" w:after="200"/>
      </w:pPr>
      <w:r>
        <w:rPr>
          <w:rFonts w:ascii="Arial" w:cs="Arial" w:eastAsia="Arial" w:hAnsi="Arial"/>
          <w:b/>
          <w:bCs/>
          <w:color w:val="2E75B6"/>
          <w:sz w:val="22"/>
          <w:szCs w:val="22"/>
        </w:rPr>
        <w:t xml:space="preserve">Overall Weighted Score: 67.0/100 - Above Average</w:t>
      </w:r>
    </w:p>
    <w:p>
      <w:r>
        <w:br w:type="page"/>
      </w:r>
    </w:p>
    <w:p>
      <w:pPr>
        <w:pStyle w:val="Heading1"/>
        <w:spacing w:before="200" w:after="120"/>
      </w:pPr>
      <w:r>
        <w:rPr>
          <w:rFonts w:ascii="Arial" w:cs="Arial" w:eastAsia="Arial" w:hAnsi="Arial"/>
          <w:b/>
          <w:bCs/>
          <w:color w:val="006400"/>
          <w:sz w:val="28"/>
          <w:szCs w:val="28"/>
        </w:rPr>
        <w:t xml:space="preserve">Key Strengths</w:t>
      </w:r>
    </w:p>
    <w:p>
      <w:pPr>
        <w:spacing w:before="40" w:after="40"/>
        <w:ind w:left="360"/>
      </w:pPr>
      <w:r>
        <w:rPr>
          <w:rFonts w:ascii="Arial" w:cs="Arial" w:eastAsia="Arial" w:hAnsi="Arial"/>
          <w:sz w:val="21"/>
          <w:szCs w:val="21"/>
        </w:rPr>
        <w:t xml:space="preserve">1. Exceptional net operating profit growth of +127.6% YoY, reaching $722,503</w:t>
      </w:r>
    </w:p>
    <w:p>
      <w:pPr>
        <w:spacing w:before="40" w:after="40"/>
        <w:ind w:left="360"/>
      </w:pPr>
      <w:r>
        <w:rPr>
          <w:rFonts w:ascii="Arial" w:cs="Arial" w:eastAsia="Arial" w:hAnsi="Arial"/>
          <w:sz w:val="21"/>
          <w:szCs w:val="21"/>
        </w:rPr>
        <w:t xml:space="preserve">2. Outstanding return on sales at 4.39%, over 2.4x the A-Class average</w:t>
      </w:r>
    </w:p>
    <w:p>
      <w:pPr>
        <w:spacing w:before="40" w:after="40"/>
        <w:ind w:left="360"/>
      </w:pPr>
      <w:r>
        <w:rPr>
          <w:rFonts w:ascii="Arial" w:cs="Arial" w:eastAsia="Arial" w:hAnsi="Arial"/>
          <w:sz w:val="21"/>
          <w:szCs w:val="21"/>
        </w:rPr>
        <w:t xml:space="preserve">3. Strong operating expense management at 18.86% of sales, well below peers</w:t>
      </w:r>
    </w:p>
    <w:p>
      <w:pPr>
        <w:spacing w:before="40" w:after="40"/>
        <w:ind w:left="360"/>
      </w:pPr>
      <w:r>
        <w:rPr>
          <w:rFonts w:ascii="Arial" w:cs="Arial" w:eastAsia="Arial" w:hAnsi="Arial"/>
          <w:sz w:val="21"/>
          <w:szCs w:val="21"/>
        </w:rPr>
        <w:t xml:space="preserve">4. Total absorption of 81.1%, exceeding both A-Class and national averages</w:t>
      </w:r>
    </w:p>
    <w:p>
      <w:pPr>
        <w:spacing w:before="40" w:after="40"/>
        <w:ind w:left="360"/>
      </w:pPr>
      <w:r>
        <w:rPr>
          <w:rFonts w:ascii="Arial" w:cs="Arial" w:eastAsia="Arial" w:hAnsi="Arial"/>
          <w:sz w:val="21"/>
          <w:szCs w:val="21"/>
        </w:rPr>
        <w:t xml:space="preserve">5. Dominant market position with 77.1% sales contribution and 33.8% market share within DAT</w:t>
      </w:r>
    </w:p>
    <w:p>
      <w:pPr>
        <w:spacing w:before="40" w:after="40"/>
        <w:ind w:left="360"/>
      </w:pPr>
      <w:r>
        <w:rPr>
          <w:rFonts w:ascii="Arial" w:cs="Arial" w:eastAsia="Arial" w:hAnsi="Arial"/>
          <w:sz w:val="21"/>
          <w:szCs w:val="21"/>
        </w:rPr>
        <w:t xml:space="preserve">6. Return on Operating Assets at 7.47%, over 3.3x the A-Class average</w:t>
      </w:r>
    </w:p>
    <w:p>
      <w:pPr>
        <w:spacing w:before="40" w:after="40"/>
        <w:ind w:left="360"/>
      </w:pPr>
      <w:r>
        <w:rPr>
          <w:rFonts w:ascii="Arial" w:cs="Arial" w:eastAsia="Arial" w:hAnsi="Arial"/>
          <w:sz w:val="21"/>
          <w:szCs w:val="21"/>
        </w:rPr>
        <w:t xml:space="preserve">7. Net income improved by 176.7% to $626,503</w:t>
      </w:r>
    </w:p>
    <w:p>
      <w:pPr>
        <w:spacing w:before="40" w:after="40"/>
        <w:ind w:left="360"/>
      </w:pPr>
      <w:r>
        <w:rPr>
          <w:rFonts w:ascii="Arial" w:cs="Arial" w:eastAsia="Arial" w:hAnsi="Arial"/>
          <w:sz w:val="21"/>
          <w:szCs w:val="21"/>
        </w:rPr>
        <w:t xml:space="preserve">8. Employee wages as a % of sales improved significantly (-16.97% YoY)</w:t>
      </w:r>
    </w:p>
    <w:p>
      <w:pPr>
        <w:pStyle w:val="Heading1"/>
        <w:spacing w:before="200" w:after="120"/>
      </w:pPr>
      <w:r>
        <w:rPr>
          <w:rFonts w:ascii="Arial" w:cs="Arial" w:eastAsia="Arial" w:hAnsi="Arial"/>
          <w:b/>
          <w:bCs/>
          <w:color w:val="CC0000"/>
          <w:sz w:val="28"/>
          <w:szCs w:val="28"/>
        </w:rPr>
        <w:t xml:space="preserve">Areas Requiring Attention</w:t>
      </w:r>
    </w:p>
    <w:p>
      <w:pPr>
        <w:spacing w:before="40" w:after="40"/>
        <w:ind w:left="360"/>
      </w:pPr>
      <w:r>
        <w:rPr>
          <w:rFonts w:ascii="Arial" w:cs="Arial" w:eastAsia="Arial" w:hAnsi="Arial"/>
          <w:sz w:val="21"/>
          <w:szCs w:val="21"/>
        </w:rPr>
        <w:t xml:space="preserve">1. Overall dealership gross margin at 18.39%, below the A-Class average of 20.50%</w:t>
      </w:r>
    </w:p>
    <w:p>
      <w:pPr>
        <w:spacing w:before="40" w:after="40"/>
        <w:ind w:left="360"/>
      </w:pPr>
      <w:r>
        <w:rPr>
          <w:rFonts w:ascii="Arial" w:cs="Arial" w:eastAsia="Arial" w:hAnsi="Arial"/>
          <w:sz w:val="21"/>
          <w:szCs w:val="21"/>
        </w:rPr>
        <w:t xml:space="preserve">2. ABC Product gross margin at 34.08%, below A-Class average of 37.02%</w:t>
      </w:r>
    </w:p>
    <w:p>
      <w:pPr>
        <w:spacing w:before="40" w:after="40"/>
        <w:ind w:left="360"/>
      </w:pPr>
      <w:r>
        <w:rPr>
          <w:rFonts w:ascii="Arial" w:cs="Arial" w:eastAsia="Arial" w:hAnsi="Arial"/>
          <w:sz w:val="21"/>
          <w:szCs w:val="21"/>
        </w:rPr>
        <w:t xml:space="preserve">3. Elevated debt/equity ratio of 4.23, significantly higher than peer average of 1.75</w:t>
      </w:r>
    </w:p>
    <w:p>
      <w:pPr>
        <w:spacing w:before="40" w:after="40"/>
        <w:ind w:left="360"/>
      </w:pPr>
      <w:r>
        <w:rPr>
          <w:rFonts w:ascii="Arial" w:cs="Arial" w:eastAsia="Arial" w:hAnsi="Arial"/>
          <w:sz w:val="21"/>
          <w:szCs w:val="21"/>
        </w:rPr>
        <w:t xml:space="preserve">4. Debt to TNW ratio at 4.69, nearly double the A-Class average</w:t>
      </w:r>
    </w:p>
    <w:p>
      <w:pPr>
        <w:spacing w:before="40" w:after="40"/>
        <w:ind w:left="360"/>
      </w:pPr>
      <w:r>
        <w:rPr>
          <w:rFonts w:ascii="Arial" w:cs="Arial" w:eastAsia="Arial" w:hAnsi="Arial"/>
          <w:sz w:val="21"/>
          <w:szCs w:val="21"/>
        </w:rPr>
        <w:t xml:space="preserve">5. Advertising spend per unit at $595, well above peer averages</w:t>
      </w:r>
    </w:p>
    <w:p>
      <w:pPr>
        <w:spacing w:before="40" w:after="40"/>
        <w:ind w:left="360"/>
      </w:pPr>
      <w:r>
        <w:rPr>
          <w:rFonts w:ascii="Arial" w:cs="Arial" w:eastAsia="Arial" w:hAnsi="Arial"/>
          <w:sz w:val="21"/>
          <w:szCs w:val="21"/>
        </w:rPr>
        <w:t xml:space="preserve">6. CXI Net Promoter Score slightly below A-Class average (87.5 vs 90.5)</w:t>
      </w:r>
    </w:p>
    <w:p>
      <w:pPr>
        <w:spacing w:before="40" w:after="40"/>
        <w:ind w:left="360"/>
      </w:pPr>
      <w:r>
        <w:rPr>
          <w:rFonts w:ascii="Arial" w:cs="Arial" w:eastAsia="Arial" w:hAnsi="Arial"/>
          <w:sz w:val="21"/>
          <w:szCs w:val="21"/>
        </w:rPr>
        <w:t xml:space="preserve">7. Market share decline of 3.98 percentage points, though consistent with broader industry trends</w:t>
      </w:r>
    </w:p>
    <w:p>
      <w:pPr>
        <w:pStyle w:val="Heading1"/>
        <w:spacing w:before="200" w:after="120"/>
      </w:pPr>
      <w:r>
        <w:rPr>
          <w:rFonts w:ascii="Arial" w:cs="Arial" w:eastAsia="Arial" w:hAnsi="Arial"/>
          <w:b/>
          <w:bCs/>
          <w:color w:val="1F3864"/>
          <w:sz w:val="28"/>
          <w:szCs w:val="28"/>
        </w:rPr>
        <w:t xml:space="preserve">Strategic Recommendations</w:t>
      </w:r>
    </w:p>
    <w:p>
      <w:pPr>
        <w:pStyle w:val="Heading2"/>
        <w:spacing w:before="140" w:after="80"/>
      </w:pPr>
      <w:r>
        <w:rPr>
          <w:rFonts w:ascii="Arial" w:cs="Arial" w:eastAsia="Arial" w:hAnsi="Arial"/>
          <w:b/>
          <w:bCs/>
          <w:color w:val="2E75B6"/>
          <w:sz w:val="24"/>
          <w:szCs w:val="24"/>
        </w:rPr>
        <w:t xml:space="preserve">Immediate Actions (0-3 months)</w:t>
      </w:r>
    </w:p>
    <w:p>
      <w:pPr>
        <w:spacing w:before="40" w:after="40"/>
        <w:ind w:left="360"/>
      </w:pPr>
      <w:r>
        <w:rPr>
          <w:rFonts w:ascii="Arial" w:cs="Arial" w:eastAsia="Arial" w:hAnsi="Arial"/>
          <w:sz w:val="20"/>
          <w:szCs w:val="20"/>
        </w:rPr>
        <w:t xml:space="preserve">- Gross Margin Improvement: Review pricing strategies across all product lines to close the gap with A-Class averages. Focus on value-added selling and reducing discounting pressure.</w:t>
      </w:r>
    </w:p>
    <w:p>
      <w:pPr>
        <w:spacing w:before="40" w:after="40"/>
        <w:ind w:left="360"/>
      </w:pPr>
      <w:r>
        <w:rPr>
          <w:rFonts w:ascii="Arial" w:cs="Arial" w:eastAsia="Arial" w:hAnsi="Arial"/>
          <w:sz w:val="20"/>
          <w:szCs w:val="20"/>
        </w:rPr>
        <w:t xml:space="preserve">- Advertising Efficiency: Conduct a comprehensive review of advertising spend effectiveness. Evaluate ROI on current campaigns and consider shifting to more cost-effective channels.</w:t>
      </w:r>
    </w:p>
    <w:p>
      <w:pPr>
        <w:spacing w:before="40" w:after="40"/>
        <w:ind w:left="360"/>
      </w:pPr>
      <w:r>
        <w:rPr>
          <w:rFonts w:ascii="Arial" w:cs="Arial" w:eastAsia="Arial" w:hAnsi="Arial"/>
          <w:sz w:val="20"/>
          <w:szCs w:val="20"/>
        </w:rPr>
        <w:t xml:space="preserve">- Customer Experience: Implement targeted initiatives to improve the CXI Net Promoter Score, focusing on post-sale follow-up and service experience enhancements.</w:t>
      </w:r>
    </w:p>
    <w:p>
      <w:pPr>
        <w:pStyle w:val="Heading2"/>
        <w:spacing w:before="140" w:after="80"/>
      </w:pPr>
      <w:r>
        <w:rPr>
          <w:rFonts w:ascii="Arial" w:cs="Arial" w:eastAsia="Arial" w:hAnsi="Arial"/>
          <w:b/>
          <w:bCs/>
          <w:color w:val="2E75B6"/>
          <w:sz w:val="24"/>
          <w:szCs w:val="24"/>
        </w:rPr>
        <w:t xml:space="preserve">Short-Term Actions (3-6 months)</w:t>
      </w:r>
    </w:p>
    <w:p>
      <w:pPr>
        <w:spacing w:before="40" w:after="40"/>
        <w:ind w:left="360"/>
      </w:pPr>
      <w:r>
        <w:rPr>
          <w:rFonts w:ascii="Arial" w:cs="Arial" w:eastAsia="Arial" w:hAnsi="Arial"/>
          <w:sz w:val="20"/>
          <w:szCs w:val="20"/>
        </w:rPr>
        <w:t xml:space="preserve">- Leverage Management: Develop a plan to reduce debt/equity and debt to TNW ratios. Prioritize paying down high-cost debt with strong operating cash flows.</w:t>
      </w:r>
    </w:p>
    <w:p>
      <w:pPr>
        <w:spacing w:before="40" w:after="40"/>
        <w:ind w:left="360"/>
      </w:pPr>
      <w:r>
        <w:rPr>
          <w:rFonts w:ascii="Arial" w:cs="Arial" w:eastAsia="Arial" w:hAnsi="Arial"/>
          <w:sz w:val="20"/>
          <w:szCs w:val="20"/>
        </w:rPr>
        <w:t xml:space="preserve">- Product Margin Enhancement: Work with ABC-Moto on product mix optimization to improve the ABC product gross margin, focusing on higher-margin models and accessories.</w:t>
      </w:r>
    </w:p>
    <w:p>
      <w:pPr>
        <w:spacing w:before="40" w:after="40"/>
        <w:ind w:left="360"/>
      </w:pPr>
      <w:r>
        <w:rPr>
          <w:rFonts w:ascii="Arial" w:cs="Arial" w:eastAsia="Arial" w:hAnsi="Arial"/>
          <w:sz w:val="20"/>
          <w:szCs w:val="20"/>
        </w:rPr>
        <w:t xml:space="preserve">- Market Share Defense: While already strong, implement proactive strategies to stabilize market share given the year-over-year decline trend.</w:t>
      </w:r>
    </w:p>
    <w:p>
      <w:pPr>
        <w:pStyle w:val="Heading2"/>
        <w:spacing w:before="140" w:after="80"/>
      </w:pPr>
      <w:r>
        <w:rPr>
          <w:rFonts w:ascii="Arial" w:cs="Arial" w:eastAsia="Arial" w:hAnsi="Arial"/>
          <w:b/>
          <w:bCs/>
          <w:color w:val="2E75B6"/>
          <w:sz w:val="24"/>
          <w:szCs w:val="24"/>
        </w:rPr>
        <w:t xml:space="preserve">Long-Term Strategies (6-12 months)</w:t>
      </w:r>
    </w:p>
    <w:p>
      <w:pPr>
        <w:spacing w:before="40" w:after="40"/>
        <w:ind w:left="360"/>
      </w:pPr>
      <w:r>
        <w:rPr>
          <w:rFonts w:ascii="Arial" w:cs="Arial" w:eastAsia="Arial" w:hAnsi="Arial"/>
          <w:sz w:val="20"/>
          <w:szCs w:val="20"/>
        </w:rPr>
        <w:t xml:space="preserve">- Sustainable Profitability: Continue building on the strong profit trajectory while addressing the gross margin gap. The combination of strong revenue growth and effective cost management provides a solid foundation.</w:t>
      </w:r>
    </w:p>
    <w:p>
      <w:pPr>
        <w:spacing w:before="40" w:after="40"/>
        <w:ind w:left="360"/>
      </w:pPr>
      <w:r>
        <w:rPr>
          <w:rFonts w:ascii="Arial" w:cs="Arial" w:eastAsia="Arial" w:hAnsi="Arial"/>
          <w:sz w:val="20"/>
          <w:szCs w:val="20"/>
        </w:rPr>
        <w:t xml:space="preserve">- Balance Sheet Optimization: Target reducing leverage ratios to closer to A-Class averages through retained earnings and strategic debt management.</w:t>
      </w:r>
    </w:p>
    <w:p>
      <w:pPr>
        <w:spacing w:before="40" w:after="40"/>
        <w:ind w:left="360"/>
      </w:pPr>
      <w:r>
        <w:rPr>
          <w:rFonts w:ascii="Arial" w:cs="Arial" w:eastAsia="Arial" w:hAnsi="Arial"/>
          <w:sz w:val="20"/>
          <w:szCs w:val="20"/>
        </w:rPr>
        <w:t xml:space="preserve">- Market Leadership: Leverage the strong market position and brand presence to further consolidate the dealership's leadership in the trading area.</w:t>
      </w:r>
    </w:p>
    <w:p>
      <w:pPr>
        <w:pBdr>
          <w:top w:val="single" w:color="2E75B6" w:sz="4" w:space="1"/>
        </w:pBdr>
        <w:spacing w:before="300" w:after="60"/>
      </w:pPr>
    </w:p>
    <w:p>
      <w:pPr>
        <w:spacing w:after="30"/>
      </w:pPr>
      <w:r>
        <w:rPr>
          <w:rFonts w:ascii="Arial" w:cs="Arial" w:eastAsia="Arial" w:hAnsi="Arial"/>
          <w:i/>
          <w:iCs/>
          <w:color w:val="666666"/>
          <w:sz w:val="18"/>
          <w:szCs w:val="18"/>
        </w:rPr>
        <w:t xml:space="preserve">Report prepared based on operational data for the period January 2025 to December 2025</w:t>
      </w:r>
    </w:p>
    <w:p>
      <w:pPr>
        <w:spacing w:after="30"/>
      </w:pPr>
      <w:r>
        <w:rPr>
          <w:rFonts w:ascii="Arial" w:cs="Arial" w:eastAsia="Arial" w:hAnsi="Arial"/>
          <w:i/>
          <w:iCs/>
          <w:color w:val="666666"/>
          <w:sz w:val="18"/>
          <w:szCs w:val="18"/>
        </w:rPr>
        <w:t xml:space="preserve">Analysis conducted using industry benchmarks and A-Class volume class comparisons</w:t>
      </w:r>
    </w:p>
    <w:p>
      <w:pPr>
        <w:spacing w:after="30"/>
      </w:pPr>
      <w:r>
        <w:rPr>
          <w:rFonts w:ascii="Arial" w:cs="Arial" w:eastAsia="Arial" w:hAnsi="Arial"/>
          <w:i/>
          <w:iCs/>
          <w:color w:val="666666"/>
          <w:sz w:val="18"/>
          <w:szCs w:val="18"/>
        </w:rPr>
        <w:t xml:space="preserve">Recommendations aligned with ABC-Moto dealer performance standards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Manage by Numbers Dealer Performance Scorecard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DPS - Overall Financial Performance | </w:t>
    </w:r>
    <w:r>
      <w:rPr>
        <w:rFonts w:ascii="Arial" w:cs="Arial" w:eastAsia="Arial" w:hAnsi="Arial"/>
        <w:i/>
        <w:iCs/>
        <w:color w:val="999999"/>
        <w:sz w:val="16"/>
        <w:szCs w:val="16"/>
      </w:rPr>
      <w:t xml:space="preserve">57004TEST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2026-02-21T15:16:40.286Z</dcterms:created>
  <dcterms:modified xsi:type="dcterms:W3CDTF">2026-02-21T15:16:40.287Z</dcterms:modified>
</cp:coreProperties>
</file>

<file path=docProps/custom.xml><?xml version="1.0" encoding="utf-8"?>
<Properties xmlns="http://schemas.openxmlformats.org/officeDocument/2006/custom-properties" xmlns:vt="http://schemas.openxmlformats.org/officeDocument/2006/docPropsVTypes"/>
</file>