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3864"/>
          <w:sz w:val="32"/>
          <w:szCs w:val="32"/>
        </w:rPr>
        <w:t xml:space="preserve">New Vehicle Sales Department Performance Analysis</w:t>
      </w:r>
    </w:p>
    <w:p>
      <w:pPr>
        <w:spacing w:after="60"/>
        <w:jc w:val="center"/>
      </w:pPr>
      <w:r>
        <w:rPr>
          <w:rFonts w:ascii="Arial" w:cs="Arial" w:eastAsia="Arial" w:hAnsi="Arial"/>
          <w:b/>
          <w:bCs/>
          <w:sz w:val="24"/>
          <w:szCs w:val="24"/>
        </w:rPr>
        <w:t xml:space="preserve">Dealership Name: 57004TEST ABC-Moto</w:t>
      </w:r>
    </w:p>
    <w:p>
      <w:pPr>
        <w:spacing w:after="60"/>
        <w:jc w:val="center"/>
      </w:pPr>
      <w:r>
        <w:rPr>
          <w:rFonts w:ascii="Arial" w:cs="Arial" w:eastAsia="Arial" w:hAnsi="Arial"/>
          <w:b/>
          <w:bCs/>
          <w:sz w:val="24"/>
          <w:szCs w:val="24"/>
        </w:rPr>
        <w:t xml:space="preserve">Period: January 2025 to December 2025</w:t>
      </w:r>
    </w:p>
    <w:p>
      <w:pPr>
        <w:spacing w:after="200"/>
        <w:jc w:val="center"/>
      </w:pPr>
      <w:r>
        <w:rPr>
          <w:rFonts w:ascii="Arial" w:cs="Arial" w:eastAsia="Arial" w:hAnsi="Arial"/>
          <w:sz w:val="22"/>
          <w:szCs w:val="22"/>
        </w:rPr>
        <w:t xml:space="preserve">Report Date: February 21, 2026</w:t>
      </w:r>
    </w:p>
    <w:p>
      <w:pPr>
        <w:pBdr>
          <w:bottom w:val="single" w:color="2E75B6" w:sz="6" w:space="1"/>
        </w:pBdr>
        <w:spacing w:after="200"/>
      </w:pPr>
    </w:p>
    <w:p>
      <w:pPr>
        <w:pStyle w:val="Heading1"/>
        <w:spacing w:before="200" w:after="120"/>
      </w:pPr>
      <w:r>
        <w:rPr>
          <w:rFonts w:ascii="Arial" w:cs="Arial" w:eastAsia="Arial" w:hAnsi="Arial"/>
          <w:b/>
          <w:bCs/>
          <w:color w:val="1F3864"/>
          <w:sz w:val="28"/>
          <w:szCs w:val="28"/>
        </w:rPr>
        <w:t xml:space="preserve">Executive Summary</w:t>
      </w:r>
    </w:p>
    <w:p>
      <w:pPr>
        <w:spacing w:after="120"/>
      </w:pPr>
      <w:r>
        <w:rPr>
          <w:rFonts w:ascii="Arial" w:cs="Arial" w:eastAsia="Arial" w:hAnsi="Arial"/>
          <w:sz w:val="21"/>
          <w:szCs w:val="21"/>
        </w:rPr>
        <w:t xml:space="preserve">This report analyzes the New Vehicle Sales department performance for 57004TEST ABC-Moto, with primary focus on ABC-Moto motorcycle sales. The analysis compares current year performance against previous year results, A-Class volume class averages, and national ABC-Moto network benchmarks.</w:t>
      </w:r>
    </w:p>
    <w:p>
      <w:pPr>
        <w:spacing w:after="120"/>
      </w:pPr>
      <w:r>
        <w:rPr>
          <w:rFonts w:ascii="Arial" w:cs="Arial" w:eastAsia="Arial" w:hAnsi="Arial"/>
          <w:sz w:val="21"/>
          <w:szCs w:val="21"/>
        </w:rPr>
        <w:t xml:space="preserve">The dealership sold 232 new ABC motorcycles, a slight decline of -2.5% (6 fewer units) year-over-year, but exceeding the A-Class average of 216 units (107.4% of class). New ABC MC Net Sales totaled $7,312,735.52, and the gross margin stands at 8.55%, which is below the benchmark minimum of 13.0%. A standout metric is the ABC 1 Performance Rewards earned of $317,536.67, representing 113.6% of the A-Class average and 172.0% of the national average. The challenging Canadian market conditions, including tariff uncertainties and consumer anti-American product sentiment, have impacted overall sales performance.</w:t>
      </w:r>
    </w:p>
    <w:p>
      <w:pPr>
        <w:pBdr>
          <w:bottom w:val="single" w:color="2E75B6" w:sz="4" w:space="1"/>
        </w:pBdr>
        <w:spacing w:after="200"/>
      </w:pPr>
    </w:p>
    <w:p>
      <w:pPr>
        <w:pStyle w:val="Heading1"/>
        <w:spacing w:before="200" w:after="120"/>
      </w:pPr>
      <w:r>
        <w:rPr>
          <w:rFonts w:ascii="Arial" w:cs="Arial" w:eastAsia="Arial" w:hAnsi="Arial"/>
          <w:b/>
          <w:bCs/>
          <w:color w:val="1F3864"/>
          <w:sz w:val="28"/>
          <w:szCs w:val="28"/>
        </w:rPr>
        <w:t xml:space="preserve">Detailed Performance Analysis</w:t>
      </w:r>
    </w:p>
    <w:p>
      <w:pPr>
        <w:pStyle w:val="Heading2"/>
        <w:spacing w:before="140" w:after="80"/>
      </w:pPr>
      <w:r>
        <w:rPr>
          <w:rFonts w:ascii="Arial" w:cs="Arial" w:eastAsia="Arial" w:hAnsi="Arial"/>
          <w:b/>
          <w:bCs/>
          <w:color w:val="2E75B6"/>
          <w:sz w:val="24"/>
          <w:szCs w:val="24"/>
        </w:rPr>
        <w:t xml:space="preserve">New ABC Motorcycle Sales Performance</w:t>
      </w:r>
    </w:p>
    <w:p>
      <w:pPr>
        <w:pStyle w:val="Heading2"/>
        <w:spacing w:before="160" w:after="80"/>
      </w:pPr>
      <w:r>
        <w:rPr>
          <w:rFonts w:ascii="Arial" w:cs="Arial" w:eastAsia="Arial" w:hAnsi="Arial"/>
          <w:b/>
          <w:bCs/>
          <w:color w:val="2E75B6"/>
          <w:sz w:val="22"/>
          <w:szCs w:val="22"/>
        </w:rPr>
        <w:t xml:space="preserve">1. New ABC Motorcycles Sold</w:t>
      </w:r>
    </w:p>
    <w:p>
      <w:pPr>
        <w:spacing w:before="20" w:after="20"/>
        <w:ind w:left="360"/>
      </w:pPr>
      <w:r>
        <w:rPr>
          <w:rFonts w:ascii="Arial" w:cs="Arial" w:eastAsia="Arial" w:hAnsi="Arial"/>
          <w:sz w:val="20"/>
          <w:szCs w:val="20"/>
        </w:rPr>
        <w:t xml:space="preserve">Current Year: 232</w:t>
      </w:r>
    </w:p>
    <w:p>
      <w:pPr>
        <w:spacing w:before="20" w:after="20"/>
        <w:ind w:left="360"/>
      </w:pPr>
      <w:r>
        <w:rPr>
          <w:rFonts w:ascii="Arial" w:cs="Arial" w:eastAsia="Arial" w:hAnsi="Arial"/>
          <w:sz w:val="20"/>
          <w:szCs w:val="20"/>
        </w:rPr>
        <w:t xml:space="preserve">Year-over-Year Change: -2.5% (-6 units)</w:t>
      </w:r>
    </w:p>
    <w:p>
      <w:pPr>
        <w:spacing w:before="20" w:after="20"/>
        <w:ind w:left="360"/>
      </w:pPr>
      <w:r>
        <w:rPr>
          <w:rFonts w:ascii="Arial" w:cs="Arial" w:eastAsia="Arial" w:hAnsi="Arial"/>
          <w:sz w:val="20"/>
          <w:szCs w:val="20"/>
        </w:rPr>
        <w:t xml:space="preserve">A-Class Average Comparison: 107.4% of benchmark (216)</w:t>
      </w:r>
    </w:p>
    <w:p>
      <w:pPr>
        <w:spacing w:before="20" w:after="20"/>
        <w:ind w:left="360"/>
      </w:pPr>
      <w:r>
        <w:rPr>
          <w:rFonts w:ascii="Arial" w:cs="Arial" w:eastAsia="Arial" w:hAnsi="Arial"/>
          <w:sz w:val="20"/>
          <w:szCs w:val="20"/>
        </w:rPr>
        <w:t xml:space="preserve">National Average Comparison: 160.1% of benchmark (145)</w:t>
      </w:r>
    </w:p>
    <w:p>
      <w:pPr>
        <w:spacing w:before="60" w:after="100"/>
      </w:pPr>
      <w:r>
        <w:rPr>
          <w:rFonts w:ascii="Arial" w:cs="Arial" w:eastAsia="Arial" w:hAnsi="Arial"/>
          <w:sz w:val="20"/>
          <w:szCs w:val="20"/>
        </w:rPr>
        <w:t xml:space="preserve">The dealership sold 232 new ABC motorcycles, a modest decline of -2.5% (6 fewer units) year-over-year. However, this represents 107.4% of the A-Class average (216 units) and 160.1% of the national average (145 units), indicating above-average unit sales volume. The A-Class average also declined by 10.8 units, indicating the unit decline is consistent with broader industry trends. In the context of the challenging Canadian market with tariff pressures and shifting consumer sentiment, maintaining unit sales near prior year levels is a reasonable outcome.</w:t>
      </w:r>
    </w:p>
    <w:p>
      <w:pPr>
        <w:pStyle w:val="Heading2"/>
        <w:spacing w:before="160" w:after="80"/>
      </w:pPr>
      <w:r>
        <w:rPr>
          <w:rFonts w:ascii="Arial" w:cs="Arial" w:eastAsia="Arial" w:hAnsi="Arial"/>
          <w:b/>
          <w:bCs/>
          <w:color w:val="2E75B6"/>
          <w:sz w:val="22"/>
          <w:szCs w:val="22"/>
        </w:rPr>
        <w:t xml:space="preserve">2. New ABC Motorcycle Net Sales $</w:t>
      </w:r>
    </w:p>
    <w:p>
      <w:pPr>
        <w:spacing w:before="20" w:after="20"/>
        <w:ind w:left="360"/>
      </w:pPr>
      <w:r>
        <w:rPr>
          <w:rFonts w:ascii="Arial" w:cs="Arial" w:eastAsia="Arial" w:hAnsi="Arial"/>
          <w:sz w:val="20"/>
          <w:szCs w:val="20"/>
        </w:rPr>
        <w:t xml:space="preserve">Current Year: $7,312,735.52</w:t>
      </w:r>
    </w:p>
    <w:p>
      <w:pPr>
        <w:spacing w:before="20" w:after="20"/>
        <w:ind w:left="360"/>
      </w:pPr>
      <w:r>
        <w:rPr>
          <w:rFonts w:ascii="Arial" w:cs="Arial" w:eastAsia="Arial" w:hAnsi="Arial"/>
          <w:sz w:val="20"/>
          <w:szCs w:val="20"/>
        </w:rPr>
        <w:t xml:space="preserve">Year-over-Year Change: -5.0% (-$388,594.63)</w:t>
      </w:r>
    </w:p>
    <w:p>
      <w:pPr>
        <w:spacing w:before="20" w:after="20"/>
        <w:ind w:left="360"/>
      </w:pPr>
      <w:r>
        <w:rPr>
          <w:rFonts w:ascii="Arial" w:cs="Arial" w:eastAsia="Arial" w:hAnsi="Arial"/>
          <w:sz w:val="20"/>
          <w:szCs w:val="20"/>
        </w:rPr>
        <w:t xml:space="preserve">A-Class Average Comparison: 98.7% of benchmark ($7,408,570.73)</w:t>
      </w:r>
    </w:p>
    <w:p>
      <w:pPr>
        <w:spacing w:before="20" w:after="20"/>
        <w:ind w:left="360"/>
      </w:pPr>
      <w:r>
        <w:rPr>
          <w:rFonts w:ascii="Arial" w:cs="Arial" w:eastAsia="Arial" w:hAnsi="Arial"/>
          <w:sz w:val="20"/>
          <w:szCs w:val="20"/>
        </w:rPr>
        <w:t xml:space="preserve">National Average Comparison: 147.9% of benchmark ($4,945,595.71)</w:t>
      </w:r>
    </w:p>
    <w:p>
      <w:pPr>
        <w:spacing w:before="60" w:after="100"/>
      </w:pPr>
      <w:r>
        <w:rPr>
          <w:rFonts w:ascii="Arial" w:cs="Arial" w:eastAsia="Arial" w:hAnsi="Arial"/>
          <w:sz w:val="20"/>
          <w:szCs w:val="20"/>
        </w:rPr>
        <w:t xml:space="preserve">New ABC Motorcycle Net Sales totaled $7,312,735.52, a decline of -5.0% ($388,594.63) year-over-year. The dealership is at 98.7% of the A-Class average and 147.9% of the national average. While the revenue decline is noted, it is less severe than the unit decline, suggesting some pricing resilience. The A-Class average also declined (-$286,692.58), indicating this is a broader market trend affecting the peer group as well.</w:t>
      </w:r>
    </w:p>
    <w:p>
      <w:pPr>
        <w:pStyle w:val="Heading2"/>
        <w:spacing w:before="160" w:after="80"/>
      </w:pPr>
      <w:r>
        <w:rPr>
          <w:rFonts w:ascii="Arial" w:cs="Arial" w:eastAsia="Arial" w:hAnsi="Arial"/>
          <w:b/>
          <w:bCs/>
          <w:color w:val="2E75B6"/>
          <w:sz w:val="22"/>
          <w:szCs w:val="22"/>
        </w:rPr>
        <w:t xml:space="preserve">3. New ABC MC Gross Margin %</w:t>
      </w:r>
    </w:p>
    <w:p>
      <w:pPr>
        <w:spacing w:before="20" w:after="20"/>
        <w:ind w:left="360"/>
      </w:pPr>
      <w:r>
        <w:rPr>
          <w:rFonts w:ascii="Arial" w:cs="Arial" w:eastAsia="Arial" w:hAnsi="Arial"/>
          <w:sz w:val="20"/>
          <w:szCs w:val="20"/>
        </w:rPr>
        <w:t xml:space="preserve">Current Year: 8.55%</w:t>
      </w:r>
    </w:p>
    <w:p>
      <w:pPr>
        <w:spacing w:before="20" w:after="20"/>
        <w:ind w:left="360"/>
      </w:pPr>
      <w:r>
        <w:rPr>
          <w:rFonts w:ascii="Arial" w:cs="Arial" w:eastAsia="Arial" w:hAnsi="Arial"/>
          <w:sz w:val="20"/>
          <w:szCs w:val="20"/>
        </w:rPr>
        <w:t xml:space="preserve">Year-over-Year Change: -10.2% (-0.97 percentage points)</w:t>
      </w:r>
    </w:p>
    <w:p>
      <w:pPr>
        <w:spacing w:before="20" w:after="20"/>
        <w:ind w:left="360"/>
      </w:pPr>
      <w:r>
        <w:rPr>
          <w:rFonts w:ascii="Arial" w:cs="Arial" w:eastAsia="Arial" w:hAnsi="Arial"/>
          <w:sz w:val="20"/>
          <w:szCs w:val="20"/>
        </w:rPr>
        <w:t xml:space="preserve">A-Class Average Comparison: 80.9% of benchmark (10.56%)</w:t>
      </w:r>
    </w:p>
    <w:p>
      <w:pPr>
        <w:spacing w:before="20" w:after="20"/>
        <w:ind w:left="360"/>
      </w:pPr>
      <w:r>
        <w:rPr>
          <w:rFonts w:ascii="Arial" w:cs="Arial" w:eastAsia="Arial" w:hAnsi="Arial"/>
          <w:sz w:val="20"/>
          <w:szCs w:val="20"/>
        </w:rPr>
        <w:t xml:space="preserve">National Average Comparison: 78.7% of benchmark (10.86%)</w:t>
      </w:r>
    </w:p>
    <w:p>
      <w:pPr>
        <w:spacing w:before="40" w:after="40"/>
        <w:ind w:left="360"/>
      </w:pPr>
      <w:r>
        <w:rPr>
          <w:rFonts w:ascii="Arial" w:cs="Arial" w:eastAsia="Arial" w:hAnsi="Arial"/>
          <w:b/>
          <w:bCs/>
          <w:sz w:val="20"/>
          <w:szCs w:val="20"/>
        </w:rPr>
        <w:t xml:space="preserve">Assessment: </w:t>
      </w:r>
      <w:r>
        <w:rPr>
          <w:rFonts w:ascii="Arial" w:cs="Arial" w:eastAsia="Arial" w:hAnsi="Arial"/>
          <w:b/>
          <w:bCs/>
          <w:color w:val="CC0000"/>
          <w:sz w:val="20"/>
          <w:szCs w:val="20"/>
        </w:rPr>
        <w:t xml:space="preserve">Substandard (below benchmark minimum)</w:t>
      </w:r>
    </w:p>
    <w:p>
      <w:pPr>
        <w:spacing w:before="60" w:after="100"/>
      </w:pPr>
      <w:r>
        <w:rPr>
          <w:rFonts w:ascii="Arial" w:cs="Arial" w:eastAsia="Arial" w:hAnsi="Arial"/>
          <w:sz w:val="20"/>
          <w:szCs w:val="20"/>
        </w:rPr>
        <w:t xml:space="preserve">The New ABC MC Gross Margin of 8.55% is below the benchmark minimum of 13.0% and declined 0.97 percentage points year-over-year. At 80.9% of the A-Class average (10.56%) and 78.7% of the national average (10.86%), the dealership underperforms both benchmarks on margin. However, it should be noted that the A-Class average also declined by 0.98 percentage points, and the national average declined by 1.17 percentage points, indicating industry-wide margin pressure. This remains a critical area requiring attention to improve profitability.</w:t>
      </w:r>
    </w:p>
    <w:p>
      <w:pPr>
        <w:pStyle w:val="Heading2"/>
        <w:spacing w:before="160" w:after="80"/>
      </w:pPr>
      <w:r>
        <w:rPr>
          <w:rFonts w:ascii="Arial" w:cs="Arial" w:eastAsia="Arial" w:hAnsi="Arial"/>
          <w:b/>
          <w:bCs/>
          <w:color w:val="2E75B6"/>
          <w:sz w:val="22"/>
          <w:szCs w:val="22"/>
        </w:rPr>
        <w:t xml:space="preserve">4. New ABC MC Average Selling Price</w:t>
      </w:r>
    </w:p>
    <w:p>
      <w:pPr>
        <w:spacing w:before="20" w:after="20"/>
        <w:ind w:left="360"/>
      </w:pPr>
      <w:r>
        <w:rPr>
          <w:rFonts w:ascii="Arial" w:cs="Arial" w:eastAsia="Arial" w:hAnsi="Arial"/>
          <w:sz w:val="20"/>
          <w:szCs w:val="20"/>
        </w:rPr>
        <w:t xml:space="preserve">Current Year: $31,520.41</w:t>
      </w:r>
    </w:p>
    <w:p>
      <w:pPr>
        <w:spacing w:before="20" w:after="20"/>
        <w:ind w:left="360"/>
      </w:pPr>
      <w:r>
        <w:rPr>
          <w:rFonts w:ascii="Arial" w:cs="Arial" w:eastAsia="Arial" w:hAnsi="Arial"/>
          <w:sz w:val="20"/>
          <w:szCs w:val="20"/>
        </w:rPr>
        <w:t xml:space="preserve">Year-over-Year Change: -2.6% (-$838.12)</w:t>
      </w:r>
    </w:p>
    <w:p>
      <w:pPr>
        <w:spacing w:before="20" w:after="20"/>
        <w:ind w:left="360"/>
      </w:pPr>
      <w:r>
        <w:rPr>
          <w:rFonts w:ascii="Arial" w:cs="Arial" w:eastAsia="Arial" w:hAnsi="Arial"/>
          <w:sz w:val="20"/>
          <w:szCs w:val="20"/>
        </w:rPr>
        <w:t xml:space="preserve">A-Class Average Comparison: 91.9% of benchmark ($34,298.94)</w:t>
      </w:r>
    </w:p>
    <w:p>
      <w:pPr>
        <w:spacing w:before="20" w:after="20"/>
        <w:ind w:left="360"/>
      </w:pPr>
      <w:r>
        <w:rPr>
          <w:rFonts w:ascii="Arial" w:cs="Arial" w:eastAsia="Arial" w:hAnsi="Arial"/>
          <w:sz w:val="20"/>
          <w:szCs w:val="20"/>
        </w:rPr>
        <w:t xml:space="preserve">National Average Comparison: 92.3% of benchmark ($34,136.27)</w:t>
      </w:r>
    </w:p>
    <w:p>
      <w:pPr>
        <w:spacing w:before="60" w:after="100"/>
      </w:pPr>
      <w:r>
        <w:rPr>
          <w:rFonts w:ascii="Arial" w:cs="Arial" w:eastAsia="Arial" w:hAnsi="Arial"/>
          <w:sz w:val="20"/>
          <w:szCs w:val="20"/>
        </w:rPr>
        <w:t xml:space="preserve">The Average Selling Price of $31,520.41 declined slightly by -2.6% ($838.12) year-over-year. At 91.9% of the A-Class average ($34,298.94) and 92.3% of the national average ($34,136.27), the dealership's ASP is below peer levels. This may reflect a different product mix or pricing strategy. Notably, the A-Class average ASP increased by $361.72, while the dealership's ASP declined, suggesting a potential shift toward lower-priced models or increased discounting.</w:t>
      </w:r>
    </w:p>
    <w:p>
      <w:pPr>
        <w:pStyle w:val="Heading2"/>
        <w:spacing w:before="160" w:after="80"/>
      </w:pPr>
      <w:r>
        <w:rPr>
          <w:rFonts w:ascii="Arial" w:cs="Arial" w:eastAsia="Arial" w:hAnsi="Arial"/>
          <w:b/>
          <w:bCs/>
          <w:color w:val="2E75B6"/>
          <w:sz w:val="22"/>
          <w:szCs w:val="22"/>
        </w:rPr>
        <w:t xml:space="preserve">5. ABC 1 Performance Rewards Earned</w:t>
      </w:r>
    </w:p>
    <w:p>
      <w:pPr>
        <w:spacing w:before="20" w:after="20"/>
        <w:ind w:left="360"/>
      </w:pPr>
      <w:r>
        <w:rPr>
          <w:rFonts w:ascii="Arial" w:cs="Arial" w:eastAsia="Arial" w:hAnsi="Arial"/>
          <w:sz w:val="20"/>
          <w:szCs w:val="20"/>
        </w:rPr>
        <w:t xml:space="preserve">Current Year: $317,536.67</w:t>
      </w:r>
    </w:p>
    <w:p>
      <w:pPr>
        <w:spacing w:before="20" w:after="20"/>
        <w:ind w:left="360"/>
      </w:pPr>
      <w:r>
        <w:rPr>
          <w:rFonts w:ascii="Arial" w:cs="Arial" w:eastAsia="Arial" w:hAnsi="Arial"/>
          <w:sz w:val="20"/>
          <w:szCs w:val="20"/>
        </w:rPr>
        <w:t xml:space="preserve">Year-over-Year Change: +41.9% ($93,827.36)</w:t>
      </w:r>
    </w:p>
    <w:p>
      <w:pPr>
        <w:spacing w:before="20" w:after="20"/>
        <w:ind w:left="360"/>
      </w:pPr>
      <w:r>
        <w:rPr>
          <w:rFonts w:ascii="Arial" w:cs="Arial" w:eastAsia="Arial" w:hAnsi="Arial"/>
          <w:sz w:val="20"/>
          <w:szCs w:val="20"/>
        </w:rPr>
        <w:t xml:space="preserve">A-Class Average Comparison: 113.6% of benchmark ($279,427.43)</w:t>
      </w:r>
    </w:p>
    <w:p>
      <w:pPr>
        <w:spacing w:before="20" w:after="20"/>
        <w:ind w:left="360"/>
      </w:pPr>
      <w:r>
        <w:rPr>
          <w:rFonts w:ascii="Arial" w:cs="Arial" w:eastAsia="Arial" w:hAnsi="Arial"/>
          <w:sz w:val="20"/>
          <w:szCs w:val="20"/>
        </w:rPr>
        <w:t xml:space="preserve">National Average Comparison: 172.0% of benchmark ($184,576.22)</w:t>
      </w:r>
    </w:p>
    <w:p>
      <w:pPr>
        <w:spacing w:before="60" w:after="100"/>
      </w:pPr>
      <w:r>
        <w:rPr>
          <w:rFonts w:ascii="Arial" w:cs="Arial" w:eastAsia="Arial" w:hAnsi="Arial"/>
          <w:sz w:val="20"/>
          <w:szCs w:val="20"/>
        </w:rPr>
        <w:t xml:space="preserve">ABC 1 Performance Rewards of $317,536.67 increased significantly by +41.9% ($93,827.36) year-over-year. At 113.6% of the A-Class average and 172.0% of the national average, the dealership substantially outperforms both benchmarks. This is a standout metric, demonstrating effective execution of manufacturer performance programs. The strong rewards achievement also helps offset some of the margin pressure experienced in unit sales.</w:t>
      </w:r>
    </w:p>
    <w:p>
      <w:pPr>
        <w:pStyle w:val="Heading2"/>
        <w:spacing w:before="180" w:after="80"/>
      </w:pPr>
      <w:r>
        <w:rPr>
          <w:rFonts w:ascii="Arial" w:cs="Arial" w:eastAsia="Arial" w:hAnsi="Arial"/>
          <w:b/>
          <w:bCs/>
          <w:color w:val="2E75B6"/>
          <w:sz w:val="24"/>
          <w:szCs w:val="24"/>
        </w:rPr>
        <w:t xml:space="preserve">Supplementary Non-ABC Performance</w:t>
      </w:r>
    </w:p>
    <w:p>
      <w:pPr>
        <w:spacing w:after="100"/>
      </w:pPr>
      <w:r>
        <w:rPr>
          <w:rFonts w:ascii="Arial" w:cs="Arial" w:eastAsia="Arial" w:hAnsi="Arial"/>
          <w:sz w:val="20"/>
          <w:szCs w:val="20"/>
        </w:rPr>
        <w:t xml:space="preserve">The dealership sold 0 new non-ABC units in the current period. Net sales of non-ABC vehicles were -$11,737.89, a decline from last year. As ABC-Moto dealerships primarily focus on ABC brand motorcycle sales, the non-ABC performance is noted for reference but is not a primary focus of this evaluation and has no material bearing on the department performance assessment.</w:t>
      </w:r>
    </w:p>
    <w:p>
      <w:r>
        <w:br w:type="page"/>
      </w:r>
    </w:p>
    <w:p>
      <w:pPr>
        <w:pStyle w:val="Heading1"/>
        <w:spacing w:before="200" w:after="120"/>
      </w:pPr>
      <w:r>
        <w:rPr>
          <w:rFonts w:ascii="Arial" w:cs="Arial" w:eastAsia="Arial" w:hAnsi="Arial"/>
          <w:b/>
          <w:bCs/>
          <w:color w:val="1F3864"/>
          <w:sz w:val="28"/>
          <w:szCs w:val="28"/>
        </w:rPr>
        <w:t xml:space="preserve">Performance Score Assessment</w:t>
      </w:r>
    </w:p>
    <w:p>
      <w:pPr>
        <w:pStyle w:val="Heading2"/>
        <w:spacing w:before="140" w:after="60"/>
      </w:pPr>
      <w:r>
        <w:rPr>
          <w:rFonts w:ascii="Arial" w:cs="Arial" w:eastAsia="Arial" w:hAnsi="Arial"/>
          <w:b/>
          <w:bCs/>
          <w:color w:val="2E75B6"/>
          <w:sz w:val="22"/>
          <w:szCs w:val="22"/>
        </w:rPr>
        <w:t xml:space="preserve">1. Departmental Sales Performance (30% weight)</w:t>
      </w:r>
    </w:p>
    <w:p>
      <w:pPr>
        <w:spacing w:before="30" w:after="30"/>
      </w:pPr>
      <w:r>
        <w:rPr>
          <w:rFonts w:ascii="Arial" w:cs="Arial" w:eastAsia="Arial" w:hAnsi="Arial"/>
          <w:b/>
          <w:bCs/>
          <w:sz w:val="21"/>
          <w:szCs w:val="21"/>
        </w:rPr>
        <w:t xml:space="preserve">Score: </w:t>
      </w:r>
      <w:r>
        <w:rPr>
          <w:rFonts w:ascii="Arial" w:cs="Arial" w:eastAsia="Arial" w:hAnsi="Arial"/>
          <w:b/>
          <w:bCs/>
          <w:color w:val="2E75B6"/>
          <w:sz w:val="21"/>
          <w:szCs w:val="21"/>
        </w:rPr>
        <w:t xml:space="preserve">60/100</w:t>
      </w:r>
    </w:p>
    <w:p>
      <w:pPr>
        <w:spacing w:before="20" w:after="15"/>
      </w:pPr>
      <w:r>
        <w:rPr>
          <w:rFonts w:ascii="Arial" w:cs="Arial" w:eastAsia="Arial" w:hAnsi="Arial"/>
          <w:b/>
          <w:bCs/>
          <w:i/>
          <w:iCs/>
          <w:sz w:val="19"/>
          <w:szCs w:val="19"/>
        </w:rPr>
        <w:t xml:space="preserve">Primary Factors:</w:t>
      </w:r>
    </w:p>
    <w:p>
      <w:pPr>
        <w:spacing w:before="10" w:after="10"/>
        <w:ind w:left="360"/>
      </w:pPr>
      <w:r>
        <w:rPr>
          <w:rFonts w:ascii="Arial" w:cs="Arial" w:eastAsia="Arial" w:hAnsi="Arial"/>
          <w:sz w:val="19"/>
          <w:szCs w:val="19"/>
        </w:rPr>
        <w:t xml:space="preserve">- Modest decline in ABC unit sales (-2.5%), better than class decline</w:t>
      </w:r>
    </w:p>
    <w:p>
      <w:pPr>
        <w:spacing w:before="10" w:after="10"/>
        <w:ind w:left="360"/>
      </w:pPr>
      <w:r>
        <w:rPr>
          <w:rFonts w:ascii="Arial" w:cs="Arial" w:eastAsia="Arial" w:hAnsi="Arial"/>
          <w:sz w:val="19"/>
          <w:szCs w:val="19"/>
        </w:rPr>
        <w:t xml:space="preserve">- Unit sales exceed A-Class average (107.4% of class)</w:t>
      </w:r>
    </w:p>
    <w:p>
      <w:pPr>
        <w:spacing w:before="10" w:after="10"/>
        <w:ind w:left="360"/>
      </w:pPr>
      <w:r>
        <w:rPr>
          <w:rFonts w:ascii="Arial" w:cs="Arial" w:eastAsia="Arial" w:hAnsi="Arial"/>
          <w:sz w:val="19"/>
          <w:szCs w:val="19"/>
        </w:rPr>
        <w:t xml:space="preserve">- Revenue decline of -5.0%, aligned with broader market trends</w:t>
      </w:r>
    </w:p>
    <w:p>
      <w:pPr>
        <w:spacing w:before="10" w:after="10"/>
        <w:ind w:left="360"/>
      </w:pPr>
      <w:r>
        <w:rPr>
          <w:rFonts w:ascii="Arial" w:cs="Arial" w:eastAsia="Arial" w:hAnsi="Arial"/>
          <w:sz w:val="19"/>
          <w:szCs w:val="19"/>
        </w:rPr>
        <w:t xml:space="preserve">- A-Class average also declined, mitigating the severity</w:t>
      </w:r>
    </w:p>
    <w:p>
      <w:pPr>
        <w:pStyle w:val="Heading2"/>
        <w:spacing w:before="140" w:after="60"/>
      </w:pPr>
      <w:r>
        <w:rPr>
          <w:rFonts w:ascii="Arial" w:cs="Arial" w:eastAsia="Arial" w:hAnsi="Arial"/>
          <w:b/>
          <w:bCs/>
          <w:color w:val="2E75B6"/>
          <w:sz w:val="22"/>
          <w:szCs w:val="22"/>
        </w:rPr>
        <w:t xml:space="preserve">2. Departmental Gross Profit Performance (25% weight)</w:t>
      </w:r>
    </w:p>
    <w:p>
      <w:pPr>
        <w:spacing w:before="30" w:after="30"/>
      </w:pPr>
      <w:r>
        <w:rPr>
          <w:rFonts w:ascii="Arial" w:cs="Arial" w:eastAsia="Arial" w:hAnsi="Arial"/>
          <w:b/>
          <w:bCs/>
          <w:sz w:val="21"/>
          <w:szCs w:val="21"/>
        </w:rPr>
        <w:t xml:space="preserve">Score: </w:t>
      </w:r>
      <w:r>
        <w:rPr>
          <w:rFonts w:ascii="Arial" w:cs="Arial" w:eastAsia="Arial" w:hAnsi="Arial"/>
          <w:b/>
          <w:bCs/>
          <w:color w:val="CC0000"/>
          <w:sz w:val="21"/>
          <w:szCs w:val="21"/>
        </w:rPr>
        <w:t xml:space="preserve">38/100</w:t>
      </w:r>
    </w:p>
    <w:p>
      <w:pPr>
        <w:spacing w:before="20" w:after="15"/>
      </w:pPr>
      <w:r>
        <w:rPr>
          <w:rFonts w:ascii="Arial" w:cs="Arial" w:eastAsia="Arial" w:hAnsi="Arial"/>
          <w:b/>
          <w:bCs/>
          <w:i/>
          <w:iCs/>
          <w:sz w:val="19"/>
          <w:szCs w:val="19"/>
        </w:rPr>
        <w:t xml:space="preserve">Primary Factors:</w:t>
      </w:r>
    </w:p>
    <w:p>
      <w:pPr>
        <w:spacing w:before="10" w:after="10"/>
        <w:ind w:left="360"/>
      </w:pPr>
      <w:r>
        <w:rPr>
          <w:rFonts w:ascii="Arial" w:cs="Arial" w:eastAsia="Arial" w:hAnsi="Arial"/>
          <w:sz w:val="19"/>
          <w:szCs w:val="19"/>
        </w:rPr>
        <w:t xml:space="preserve">- ABC gross margin at 8.55%, below benchmark minimum of 13.0%</w:t>
      </w:r>
    </w:p>
    <w:p>
      <w:pPr>
        <w:spacing w:before="10" w:after="10"/>
        <w:ind w:left="360"/>
      </w:pPr>
      <w:r>
        <w:rPr>
          <w:rFonts w:ascii="Arial" w:cs="Arial" w:eastAsia="Arial" w:hAnsi="Arial"/>
          <w:sz w:val="19"/>
          <w:szCs w:val="19"/>
        </w:rPr>
        <w:t xml:space="preserve">- Margin declined 0.97 pp YoY</w:t>
      </w:r>
    </w:p>
    <w:p>
      <w:pPr>
        <w:spacing w:before="10" w:after="10"/>
        <w:ind w:left="360"/>
      </w:pPr>
      <w:r>
        <w:rPr>
          <w:rFonts w:ascii="Arial" w:cs="Arial" w:eastAsia="Arial" w:hAnsi="Arial"/>
          <w:sz w:val="19"/>
          <w:szCs w:val="19"/>
        </w:rPr>
        <w:t xml:space="preserve">- Below both A-Class (10.56%) and national (10.86%) averages</w:t>
      </w:r>
    </w:p>
    <w:p>
      <w:pPr>
        <w:spacing w:before="10" w:after="10"/>
        <w:ind w:left="360"/>
      </w:pPr>
      <w:r>
        <w:rPr>
          <w:rFonts w:ascii="Arial" w:cs="Arial" w:eastAsia="Arial" w:hAnsi="Arial"/>
          <w:sz w:val="19"/>
          <w:szCs w:val="19"/>
        </w:rPr>
        <w:t xml:space="preserve">- Industry-wide margin compression noted (class and national also declined)</w:t>
      </w:r>
    </w:p>
    <w:p>
      <w:pPr>
        <w:pStyle w:val="Heading2"/>
        <w:spacing w:before="140" w:after="60"/>
      </w:pPr>
      <w:r>
        <w:rPr>
          <w:rFonts w:ascii="Arial" w:cs="Arial" w:eastAsia="Arial" w:hAnsi="Arial"/>
          <w:b/>
          <w:bCs/>
          <w:color w:val="2E75B6"/>
          <w:sz w:val="22"/>
          <w:szCs w:val="22"/>
        </w:rPr>
        <w:t xml:space="preserve">3. Cost Management (20% weight)</w:t>
      </w:r>
    </w:p>
    <w:p>
      <w:pPr>
        <w:spacing w:before="30" w:after="30"/>
      </w:pPr>
      <w:r>
        <w:rPr>
          <w:rFonts w:ascii="Arial" w:cs="Arial" w:eastAsia="Arial" w:hAnsi="Arial"/>
          <w:b/>
          <w:bCs/>
          <w:sz w:val="21"/>
          <w:szCs w:val="21"/>
        </w:rPr>
        <w:t xml:space="preserve">Score: </w:t>
      </w:r>
      <w:r>
        <w:rPr>
          <w:rFonts w:ascii="Arial" w:cs="Arial" w:eastAsia="Arial" w:hAnsi="Arial"/>
          <w:b/>
          <w:bCs/>
          <w:color w:val="006400"/>
          <w:sz w:val="21"/>
          <w:szCs w:val="21"/>
        </w:rPr>
        <w:t xml:space="preserve">82/100</w:t>
      </w:r>
    </w:p>
    <w:p>
      <w:pPr>
        <w:spacing w:before="20" w:after="15"/>
      </w:pPr>
      <w:r>
        <w:rPr>
          <w:rFonts w:ascii="Arial" w:cs="Arial" w:eastAsia="Arial" w:hAnsi="Arial"/>
          <w:b/>
          <w:bCs/>
          <w:i/>
          <w:iCs/>
          <w:sz w:val="19"/>
          <w:szCs w:val="19"/>
        </w:rPr>
        <w:t xml:space="preserve">Primary Factors:</w:t>
      </w:r>
    </w:p>
    <w:p>
      <w:pPr>
        <w:spacing w:before="10" w:after="10"/>
        <w:ind w:left="360"/>
      </w:pPr>
      <w:r>
        <w:rPr>
          <w:rFonts w:ascii="Arial" w:cs="Arial" w:eastAsia="Arial" w:hAnsi="Arial"/>
          <w:sz w:val="19"/>
          <w:szCs w:val="19"/>
        </w:rPr>
        <w:t xml:space="preserve">- Exceptional ABC 1 Performance Rewards at $317,537</w:t>
      </w:r>
    </w:p>
    <w:p>
      <w:pPr>
        <w:spacing w:before="10" w:after="10"/>
        <w:ind w:left="360"/>
      </w:pPr>
      <w:r>
        <w:rPr>
          <w:rFonts w:ascii="Arial" w:cs="Arial" w:eastAsia="Arial" w:hAnsi="Arial"/>
          <w:sz w:val="19"/>
          <w:szCs w:val="19"/>
        </w:rPr>
        <w:t xml:space="preserve">- Performance rewards exceed A-Class average by 13.6%</w:t>
      </w:r>
    </w:p>
    <w:p>
      <w:pPr>
        <w:spacing w:before="10" w:after="10"/>
        <w:ind w:left="360"/>
      </w:pPr>
      <w:r>
        <w:rPr>
          <w:rFonts w:ascii="Arial" w:cs="Arial" w:eastAsia="Arial" w:hAnsi="Arial"/>
          <w:sz w:val="19"/>
          <w:szCs w:val="19"/>
        </w:rPr>
        <w:t xml:space="preserve">- Rewards exceed national average by 72.0%</w:t>
      </w:r>
    </w:p>
    <w:p>
      <w:pPr>
        <w:spacing w:before="10" w:after="10"/>
        <w:ind w:left="360"/>
      </w:pPr>
      <w:r>
        <w:rPr>
          <w:rFonts w:ascii="Arial" w:cs="Arial" w:eastAsia="Arial" w:hAnsi="Arial"/>
          <w:sz w:val="19"/>
          <w:szCs w:val="19"/>
        </w:rPr>
        <w:t xml:space="preserve">- Strong execution of manufacturer programs offsets margin pressure</w:t>
      </w:r>
    </w:p>
    <w:p>
      <w:pPr>
        <w:pStyle w:val="Heading2"/>
        <w:spacing w:before="140" w:after="60"/>
      </w:pPr>
      <w:r>
        <w:rPr>
          <w:rFonts w:ascii="Arial" w:cs="Arial" w:eastAsia="Arial" w:hAnsi="Arial"/>
          <w:b/>
          <w:bCs/>
          <w:color w:val="2E75B6"/>
          <w:sz w:val="22"/>
          <w:szCs w:val="22"/>
        </w:rPr>
        <w:t xml:space="preserve">4. Market Position/Growth (15% weight)</w:t>
      </w:r>
    </w:p>
    <w:p>
      <w:pPr>
        <w:spacing w:before="30" w:after="30"/>
      </w:pPr>
      <w:r>
        <w:rPr>
          <w:rFonts w:ascii="Arial" w:cs="Arial" w:eastAsia="Arial" w:hAnsi="Arial"/>
          <w:b/>
          <w:bCs/>
          <w:sz w:val="21"/>
          <w:szCs w:val="21"/>
        </w:rPr>
        <w:t xml:space="preserve">Score: </w:t>
      </w:r>
      <w:r>
        <w:rPr>
          <w:rFonts w:ascii="Arial" w:cs="Arial" w:eastAsia="Arial" w:hAnsi="Arial"/>
          <w:b/>
          <w:bCs/>
          <w:color w:val="2E75B6"/>
          <w:sz w:val="21"/>
          <w:szCs w:val="21"/>
        </w:rPr>
        <w:t xml:space="preserve">58/100</w:t>
      </w:r>
    </w:p>
    <w:p>
      <w:pPr>
        <w:spacing w:before="20" w:after="15"/>
      </w:pPr>
      <w:r>
        <w:rPr>
          <w:rFonts w:ascii="Arial" w:cs="Arial" w:eastAsia="Arial" w:hAnsi="Arial"/>
          <w:b/>
          <w:bCs/>
          <w:i/>
          <w:iCs/>
          <w:sz w:val="19"/>
          <w:szCs w:val="19"/>
        </w:rPr>
        <w:t xml:space="preserve">Primary Factors:</w:t>
      </w:r>
    </w:p>
    <w:p>
      <w:pPr>
        <w:spacing w:before="10" w:after="10"/>
        <w:ind w:left="360"/>
      </w:pPr>
      <w:r>
        <w:rPr>
          <w:rFonts w:ascii="Arial" w:cs="Arial" w:eastAsia="Arial" w:hAnsi="Arial"/>
          <w:sz w:val="19"/>
          <w:szCs w:val="19"/>
        </w:rPr>
        <w:t xml:space="preserve">- Unit sales above A-Class and national averages</w:t>
      </w:r>
    </w:p>
    <w:p>
      <w:pPr>
        <w:spacing w:before="10" w:after="10"/>
        <w:ind w:left="360"/>
      </w:pPr>
      <w:r>
        <w:rPr>
          <w:rFonts w:ascii="Arial" w:cs="Arial" w:eastAsia="Arial" w:hAnsi="Arial"/>
          <w:sz w:val="19"/>
          <w:szCs w:val="19"/>
        </w:rPr>
        <w:t xml:space="preserve">- Revenue decline less severe than unit decline</w:t>
      </w:r>
    </w:p>
    <w:p>
      <w:pPr>
        <w:spacing w:before="10" w:after="10"/>
        <w:ind w:left="360"/>
      </w:pPr>
      <w:r>
        <w:rPr>
          <w:rFonts w:ascii="Arial" w:cs="Arial" w:eastAsia="Arial" w:hAnsi="Arial"/>
          <w:sz w:val="19"/>
          <w:szCs w:val="19"/>
        </w:rPr>
        <w:t xml:space="preserve">- Maintained competitive market presence</w:t>
      </w:r>
    </w:p>
    <w:p>
      <w:pPr>
        <w:spacing w:before="10" w:after="10"/>
        <w:ind w:left="360"/>
      </w:pPr>
      <w:r>
        <w:rPr>
          <w:rFonts w:ascii="Arial" w:cs="Arial" w:eastAsia="Arial" w:hAnsi="Arial"/>
          <w:sz w:val="19"/>
          <w:szCs w:val="19"/>
        </w:rPr>
        <w:t xml:space="preserve">- Decline consistent with broader market trends</w:t>
      </w:r>
    </w:p>
    <w:p>
      <w:pPr>
        <w:pStyle w:val="Heading2"/>
        <w:spacing w:before="140" w:after="60"/>
      </w:pPr>
      <w:r>
        <w:rPr>
          <w:rFonts w:ascii="Arial" w:cs="Arial" w:eastAsia="Arial" w:hAnsi="Arial"/>
          <w:b/>
          <w:bCs/>
          <w:color w:val="2E75B6"/>
          <w:sz w:val="22"/>
          <w:szCs w:val="22"/>
        </w:rPr>
        <w:t xml:space="preserve">5. Operational Efficiency (10% weight)</w:t>
      </w:r>
    </w:p>
    <w:p>
      <w:pPr>
        <w:spacing w:before="30" w:after="30"/>
      </w:pPr>
      <w:r>
        <w:rPr>
          <w:rFonts w:ascii="Arial" w:cs="Arial" w:eastAsia="Arial" w:hAnsi="Arial"/>
          <w:b/>
          <w:bCs/>
          <w:sz w:val="21"/>
          <w:szCs w:val="21"/>
        </w:rPr>
        <w:t xml:space="preserve">Score: </w:t>
      </w:r>
      <w:r>
        <w:rPr>
          <w:rFonts w:ascii="Arial" w:cs="Arial" w:eastAsia="Arial" w:hAnsi="Arial"/>
          <w:b/>
          <w:bCs/>
          <w:color w:val="2E75B6"/>
          <w:sz w:val="21"/>
          <w:szCs w:val="21"/>
        </w:rPr>
        <w:t xml:space="preserve">65/100</w:t>
      </w:r>
    </w:p>
    <w:p>
      <w:pPr>
        <w:spacing w:before="20" w:after="15"/>
      </w:pPr>
      <w:r>
        <w:rPr>
          <w:rFonts w:ascii="Arial" w:cs="Arial" w:eastAsia="Arial" w:hAnsi="Arial"/>
          <w:b/>
          <w:bCs/>
          <w:i/>
          <w:iCs/>
          <w:sz w:val="19"/>
          <w:szCs w:val="19"/>
        </w:rPr>
        <w:t xml:space="preserve">Primary Factors:</w:t>
      </w:r>
    </w:p>
    <w:p>
      <w:pPr>
        <w:spacing w:before="10" w:after="10"/>
        <w:ind w:left="360"/>
      </w:pPr>
      <w:r>
        <w:rPr>
          <w:rFonts w:ascii="Arial" w:cs="Arial" w:eastAsia="Arial" w:hAnsi="Arial"/>
          <w:sz w:val="19"/>
          <w:szCs w:val="19"/>
        </w:rPr>
        <w:t xml:space="preserve">- Strong rewards program execution</w:t>
      </w:r>
    </w:p>
    <w:p>
      <w:pPr>
        <w:spacing w:before="10" w:after="10"/>
        <w:ind w:left="360"/>
      </w:pPr>
      <w:r>
        <w:rPr>
          <w:rFonts w:ascii="Arial" w:cs="Arial" w:eastAsia="Arial" w:hAnsi="Arial"/>
          <w:sz w:val="19"/>
          <w:szCs w:val="19"/>
        </w:rPr>
        <w:t xml:space="preserve">- Effective management of manufacturer programs</w:t>
      </w:r>
    </w:p>
    <w:p>
      <w:pPr>
        <w:spacing w:before="10" w:after="10"/>
        <w:ind w:left="360"/>
      </w:pPr>
      <w:r>
        <w:rPr>
          <w:rFonts w:ascii="Arial" w:cs="Arial" w:eastAsia="Arial" w:hAnsi="Arial"/>
          <w:sz w:val="19"/>
          <w:szCs w:val="19"/>
        </w:rPr>
        <w:t xml:space="preserve">- Maintained sales volume near prior year despite headwinds</w:t>
      </w:r>
    </w:p>
    <w:p>
      <w:pPr>
        <w:spacing w:before="10" w:after="10"/>
        <w:ind w:left="360"/>
      </w:pPr>
      <w:r>
        <w:rPr>
          <w:rFonts w:ascii="Arial" w:cs="Arial" w:eastAsia="Arial" w:hAnsi="Arial"/>
          <w:sz w:val="19"/>
          <w:szCs w:val="19"/>
        </w:rPr>
        <w:t xml:space="preserve">- ASP slightly below peers, suggesting room for improvement</w:t>
      </w:r>
    </w:p>
    <w:p>
      <w:pPr>
        <w:pStyle w:val="Heading2"/>
        <w:spacing w:before="200" w:after="100"/>
      </w:pPr>
      <w:r>
        <w:rPr>
          <w:rFonts w:ascii="Arial" w:cs="Arial" w:eastAsia="Arial" w:hAnsi="Arial"/>
          <w:b/>
          <w:bCs/>
          <w:color w:val="1F3864"/>
          <w:sz w:val="24"/>
          <w:szCs w:val="24"/>
        </w:rPr>
        <w:t xml:space="preserve">Department Performance Score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400"/>
        <w:gridCol w:w="1560"/>
        <w:gridCol w:w="1400"/>
      </w:tblGrid>
      <w:tr>
        <w:tc>
          <w:tcPr>
            <w:tcW w:type="dxa" w:w="3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Performance Category</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before="20" w:after="20"/>
              <w:jc w:val="center"/>
            </w:pPr>
            <w:r>
              <w:rPr>
                <w:rFonts w:ascii="Arial" w:cs="Arial" w:eastAsia="Arial" w:hAnsi="Arial"/>
                <w:b/>
                <w:bCs/>
                <w:color w:val="FFFFFF"/>
                <w:sz w:val="20"/>
                <w:szCs w:val="20"/>
              </w:rPr>
              <w:t xml:space="preserve">Weight</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before="20" w:after="20"/>
              <w:jc w:val="center"/>
            </w:pPr>
            <w:r>
              <w:rPr>
                <w:rFonts w:ascii="Arial" w:cs="Arial" w:eastAsia="Arial" w:hAnsi="Arial"/>
                <w:b/>
                <w:bCs/>
                <w:color w:val="FFFFFF"/>
                <w:sz w:val="20"/>
                <w:szCs w:val="20"/>
              </w:rPr>
              <w:t xml:space="preserve">Score</w:t>
            </w:r>
          </w:p>
        </w:tc>
        <w:tc>
          <w:tcPr>
            <w:tcW w:type="dxa" w:w="1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before="20" w:after="20"/>
              <w:jc w:val="center"/>
            </w:pPr>
            <w:r>
              <w:rPr>
                <w:rFonts w:ascii="Arial" w:cs="Arial" w:eastAsia="Arial" w:hAnsi="Arial"/>
                <w:b/>
                <w:bCs/>
                <w:color w:val="FFFFFF"/>
                <w:sz w:val="20"/>
                <w:szCs w:val="20"/>
              </w:rPr>
              <w:t xml:space="preserve">Weighted Score</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before="20" w:after="20"/>
              <w:jc w:val="center"/>
            </w:pPr>
            <w:r>
              <w:rPr>
                <w:rFonts w:ascii="Arial" w:cs="Arial" w:eastAsia="Arial" w:hAnsi="Arial"/>
                <w:b/>
                <w:bCs/>
                <w:color w:val="FFFFFF"/>
                <w:sz w:val="20"/>
                <w:szCs w:val="20"/>
              </w:rPr>
              <w:t xml:space="preserve">Rating</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000000"/>
                <w:sz w:val="20"/>
                <w:szCs w:val="20"/>
              </w:rPr>
              <w:t xml:space="preserve">Departmental Sales Performance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30%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2E75B6"/>
                <w:sz w:val="20"/>
                <w:szCs w:val="20"/>
              </w:rPr>
              <w:t xml:space="preserve">60</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18.0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2E75B6"/>
                <w:sz w:val="20"/>
                <w:szCs w:val="20"/>
              </w:rPr>
              <w:t xml:space="preserve">Above Avg</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000000"/>
                <w:sz w:val="20"/>
                <w:szCs w:val="20"/>
              </w:rPr>
              <w:t xml:space="preserve">Departmental Gross Profit Performance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25%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CC0000"/>
                <w:sz w:val="20"/>
                <w:szCs w:val="20"/>
              </w:rPr>
              <w:t xml:space="preserve">38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9.5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CC0000"/>
                <w:sz w:val="20"/>
                <w:szCs w:val="20"/>
              </w:rPr>
              <w:t xml:space="preserve">Below Avg</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000000"/>
                <w:sz w:val="20"/>
                <w:szCs w:val="20"/>
              </w:rPr>
              <w:t xml:space="preserve">Cost Management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20%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6400"/>
                <w:sz w:val="20"/>
                <w:szCs w:val="20"/>
              </w:rPr>
              <w:t xml:space="preserve">82</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16.4</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6400"/>
                <w:sz w:val="20"/>
                <w:szCs w:val="20"/>
              </w:rPr>
              <w:t xml:space="preserve">Strong</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000000"/>
                <w:sz w:val="20"/>
                <w:szCs w:val="20"/>
              </w:rPr>
              <w:t xml:space="preserve">Market Position/Growth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15%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2E75B6"/>
                <w:sz w:val="20"/>
                <w:szCs w:val="20"/>
              </w:rPr>
              <w:t xml:space="preserve">58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8.7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2E75B6"/>
                <w:sz w:val="20"/>
                <w:szCs w:val="20"/>
              </w:rPr>
              <w:t xml:space="preserve">Average</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left"/>
            </w:pPr>
            <w:r>
              <w:rPr>
                <w:rFonts w:ascii="Arial" w:cs="Arial" w:eastAsia="Arial" w:hAnsi="Arial"/>
                <w:b w:val="false"/>
                <w:bCs w:val="false"/>
                <w:color w:val="000000"/>
                <w:sz w:val="20"/>
                <w:szCs w:val="20"/>
              </w:rPr>
              <w:t xml:space="preserve">Operational Efficiency</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10%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2E75B6"/>
                <w:sz w:val="20"/>
                <w:szCs w:val="20"/>
              </w:rPr>
              <w:t xml:space="preserve">65</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000000"/>
                <w:sz w:val="20"/>
                <w:szCs w:val="20"/>
              </w:rPr>
              <w:t xml:space="preserve">6.5</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spacing w:before="20" w:after="20"/>
              <w:jc w:val="center"/>
            </w:pPr>
            <w:r>
              <w:rPr>
                <w:rFonts w:ascii="Arial" w:cs="Arial" w:eastAsia="Arial" w:hAnsi="Arial"/>
                <w:b w:val="false"/>
                <w:bCs w:val="false"/>
                <w:color w:val="2E75B6"/>
                <w:sz w:val="20"/>
                <w:szCs w:val="20"/>
              </w:rPr>
              <w:t xml:space="preserve">Above Avg</w:t>
            </w:r>
          </w:p>
        </w:tc>
      </w:tr>
      <w:tr>
        <w:tc>
          <w:tcPr>
            <w:tcW w:type="dxa" w:w="3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before="20" w:after="20"/>
              <w:jc w:val="left"/>
            </w:pPr>
            <w:r>
              <w:rPr>
                <w:rFonts w:ascii="Arial" w:cs="Arial" w:eastAsia="Arial" w:hAnsi="Arial"/>
                <w:b/>
                <w:bCs/>
                <w:color w:val="FFFFFF"/>
                <w:sz w:val="20"/>
                <w:szCs w:val="20"/>
              </w:rPr>
              <w:t xml:space="preserve">TOTAL</w:t>
            </w:r>
          </w:p>
        </w:tc>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before="20" w:after="20"/>
              <w:jc w:val="center"/>
            </w:pPr>
            <w:r>
              <w:rPr>
                <w:rFonts w:ascii="Arial" w:cs="Arial" w:eastAsia="Arial" w:hAnsi="Arial"/>
                <w:b/>
                <w:bCs/>
                <w:color w:val="FFFFFF"/>
                <w:sz w:val="20"/>
                <w:szCs w:val="20"/>
              </w:rPr>
              <w:t xml:space="preserve">100%</w:t>
            </w:r>
          </w:p>
        </w:tc>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before="20" w:after="20"/>
              <w:jc w:val="center"/>
            </w:pPr>
            <w:r>
              <w:rPr>
                <w:rFonts w:ascii="Arial" w:cs="Arial" w:eastAsia="Arial" w:hAnsi="Arial"/>
                <w:b/>
                <w:bCs/>
                <w:color w:val="FFFFFF"/>
                <w:sz w:val="20"/>
                <w:szCs w:val="20"/>
              </w:rPr>
              <w:t xml:space="preserve">-</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before="20" w:after="20"/>
              <w:jc w:val="center"/>
            </w:pPr>
            <w:r>
              <w:rPr>
                <w:rFonts w:ascii="Arial" w:cs="Arial" w:eastAsia="Arial" w:hAnsi="Arial"/>
                <w:b/>
                <w:bCs/>
                <w:color w:val="FFFFFF"/>
                <w:sz w:val="20"/>
                <w:szCs w:val="20"/>
              </w:rPr>
              <w:t xml:space="preserve">59.1</w:t>
            </w:r>
          </w:p>
        </w:tc>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spacing w:before="20" w:after="20"/>
              <w:jc w:val="center"/>
            </w:pPr>
            <w:r>
              <w:rPr>
                <w:rFonts w:ascii="Arial" w:cs="Arial" w:eastAsia="Arial" w:hAnsi="Arial"/>
                <w:b/>
                <w:bCs/>
                <w:color w:val="FFFFFF"/>
                <w:sz w:val="20"/>
                <w:szCs w:val="20"/>
              </w:rPr>
              <w:t xml:space="preserve">Average</w:t>
            </w:r>
          </w:p>
        </w:tc>
      </w:tr>
    </w:tbl>
    <w:p>
      <w:pPr>
        <w:spacing w:before="120" w:after="200"/>
      </w:pPr>
      <w:r>
        <w:rPr>
          <w:rFonts w:ascii="Arial" w:cs="Arial" w:eastAsia="Arial" w:hAnsi="Arial"/>
          <w:b/>
          <w:bCs/>
          <w:color w:val="2E75B6"/>
          <w:sz w:val="22"/>
          <w:szCs w:val="22"/>
        </w:rPr>
        <w:t xml:space="preserve">Overall Weighted Score: 59.1/100 - Average</w:t>
      </w:r>
    </w:p>
    <w:p>
      <w:r>
        <w:br w:type="page"/>
      </w:r>
    </w:p>
    <w:p>
      <w:pPr>
        <w:pStyle w:val="Heading1"/>
        <w:spacing w:before="200" w:after="120"/>
      </w:pPr>
      <w:r>
        <w:rPr>
          <w:rFonts w:ascii="Arial" w:cs="Arial" w:eastAsia="Arial" w:hAnsi="Arial"/>
          <w:b/>
          <w:bCs/>
          <w:color w:val="006400"/>
          <w:sz w:val="28"/>
          <w:szCs w:val="28"/>
        </w:rPr>
        <w:t xml:space="preserve">Key Strengths</w:t>
      </w:r>
    </w:p>
    <w:p>
      <w:pPr>
        <w:spacing w:before="40" w:after="40"/>
        <w:ind w:left="360"/>
      </w:pPr>
      <w:r>
        <w:rPr>
          <w:rFonts w:ascii="Arial" w:cs="Arial" w:eastAsia="Arial" w:hAnsi="Arial"/>
          <w:sz w:val="21"/>
          <w:szCs w:val="21"/>
        </w:rPr>
        <w:t xml:space="preserve">1. Exceptional ABC 1 Performance Rewards ($317,537), exceeding A-Class average by 13.6% and national by 72.0%</w:t>
      </w:r>
    </w:p>
    <w:p>
      <w:pPr>
        <w:spacing w:before="40" w:after="40"/>
        <w:ind w:left="360"/>
      </w:pPr>
      <w:r>
        <w:rPr>
          <w:rFonts w:ascii="Arial" w:cs="Arial" w:eastAsia="Arial" w:hAnsi="Arial"/>
          <w:sz w:val="21"/>
          <w:szCs w:val="21"/>
        </w:rPr>
        <w:t xml:space="preserve">2. Unit sales above both A-Class average (107.4%) and national average (160.1%)</w:t>
      </w:r>
    </w:p>
    <w:p>
      <w:pPr>
        <w:spacing w:before="40" w:after="40"/>
        <w:ind w:left="360"/>
      </w:pPr>
      <w:r>
        <w:rPr>
          <w:rFonts w:ascii="Arial" w:cs="Arial" w:eastAsia="Arial" w:hAnsi="Arial"/>
          <w:sz w:val="21"/>
          <w:szCs w:val="21"/>
        </w:rPr>
        <w:t xml:space="preserve">3. Sales decline of -2.5% outperforms A-Class decline rate, demonstrating relative resilience</w:t>
      </w:r>
    </w:p>
    <w:p>
      <w:pPr>
        <w:spacing w:before="40" w:after="40"/>
        <w:ind w:left="360"/>
      </w:pPr>
      <w:r>
        <w:rPr>
          <w:rFonts w:ascii="Arial" w:cs="Arial" w:eastAsia="Arial" w:hAnsi="Arial"/>
          <w:sz w:val="21"/>
          <w:szCs w:val="21"/>
        </w:rPr>
        <w:t xml:space="preserve">4. Strong manufacturer program execution generating significant supplementary income</w:t>
      </w:r>
    </w:p>
    <w:p>
      <w:pPr>
        <w:pStyle w:val="Heading1"/>
        <w:spacing w:before="200" w:after="120"/>
      </w:pPr>
      <w:r>
        <w:rPr>
          <w:rFonts w:ascii="Arial" w:cs="Arial" w:eastAsia="Arial" w:hAnsi="Arial"/>
          <w:b/>
          <w:bCs/>
          <w:color w:val="CC0000"/>
          <w:sz w:val="28"/>
          <w:szCs w:val="28"/>
        </w:rPr>
        <w:t xml:space="preserve">Critical Weaknesses</w:t>
      </w:r>
    </w:p>
    <w:p>
      <w:pPr>
        <w:spacing w:before="40" w:after="40"/>
        <w:ind w:left="360"/>
      </w:pPr>
      <w:r>
        <w:rPr>
          <w:rFonts w:ascii="Arial" w:cs="Arial" w:eastAsia="Arial" w:hAnsi="Arial"/>
          <w:sz w:val="21"/>
          <w:szCs w:val="21"/>
        </w:rPr>
        <w:t xml:space="preserve">1. New ABC MC Gross Margin at 8.55%, significantly below benchmark minimum of 13.0%</w:t>
      </w:r>
    </w:p>
    <w:p>
      <w:pPr>
        <w:spacing w:before="40" w:after="40"/>
        <w:ind w:left="360"/>
      </w:pPr>
      <w:r>
        <w:rPr>
          <w:rFonts w:ascii="Arial" w:cs="Arial" w:eastAsia="Arial" w:hAnsi="Arial"/>
          <w:sz w:val="21"/>
          <w:szCs w:val="21"/>
        </w:rPr>
        <w:t xml:space="preserve">2. Gross margin decline of 0.97 pp YoY, underperforming relative to peers</w:t>
      </w:r>
    </w:p>
    <w:p>
      <w:pPr>
        <w:spacing w:before="40" w:after="40"/>
        <w:ind w:left="360"/>
      </w:pPr>
      <w:r>
        <w:rPr>
          <w:rFonts w:ascii="Arial" w:cs="Arial" w:eastAsia="Arial" w:hAnsi="Arial"/>
          <w:sz w:val="21"/>
          <w:szCs w:val="21"/>
        </w:rPr>
        <w:t xml:space="preserve">3. Average Selling Price below A-Class and national averages</w:t>
      </w:r>
    </w:p>
    <w:p>
      <w:pPr>
        <w:spacing w:before="40" w:after="40"/>
        <w:ind w:left="360"/>
      </w:pPr>
      <w:r>
        <w:rPr>
          <w:rFonts w:ascii="Arial" w:cs="Arial" w:eastAsia="Arial" w:hAnsi="Arial"/>
          <w:sz w:val="21"/>
          <w:szCs w:val="21"/>
        </w:rPr>
        <w:t xml:space="preserve">4. Revenue decline of 5.0% year-over-year</w:t>
      </w:r>
    </w:p>
    <w:p>
      <w:pPr>
        <w:pStyle w:val="Heading1"/>
        <w:spacing w:before="200" w:after="120"/>
      </w:pPr>
      <w:r>
        <w:rPr>
          <w:rFonts w:ascii="Arial" w:cs="Arial" w:eastAsia="Arial" w:hAnsi="Arial"/>
          <w:b/>
          <w:bCs/>
          <w:color w:val="1F3864"/>
          <w:sz w:val="28"/>
          <w:szCs w:val="28"/>
        </w:rPr>
        <w:t xml:space="preserve">Strategic Recommendations</w:t>
      </w:r>
    </w:p>
    <w:p>
      <w:pPr>
        <w:pStyle w:val="Heading2"/>
        <w:spacing w:before="120" w:after="60"/>
      </w:pPr>
      <w:r>
        <w:rPr>
          <w:rFonts w:ascii="Arial" w:cs="Arial" w:eastAsia="Arial" w:hAnsi="Arial"/>
          <w:b/>
          <w:bCs/>
          <w:color w:val="2E75B6"/>
          <w:sz w:val="22"/>
          <w:szCs w:val="22"/>
        </w:rPr>
        <w:t xml:space="preserve">Immediate Actions (0-3 months)</w:t>
      </w:r>
    </w:p>
    <w:p>
      <w:pPr>
        <w:spacing w:before="30" w:after="30"/>
        <w:ind w:left="360"/>
      </w:pPr>
      <w:r>
        <w:rPr>
          <w:rFonts w:ascii="Arial" w:cs="Arial" w:eastAsia="Arial" w:hAnsi="Arial"/>
          <w:sz w:val="20"/>
          <w:szCs w:val="20"/>
        </w:rPr>
        <w:t xml:space="preserve">- Margin Recovery: Implement a comprehensive deal structure review to improve gross margin toward the 13% benchmark minimum. Focus on reducing front-end discounting and enhancing value-added presentation.</w:t>
      </w:r>
    </w:p>
    <w:p>
      <w:pPr>
        <w:spacing w:before="30" w:after="30"/>
        <w:ind w:left="360"/>
      </w:pPr>
      <w:r>
        <w:rPr>
          <w:rFonts w:ascii="Arial" w:cs="Arial" w:eastAsia="Arial" w:hAnsi="Arial"/>
          <w:sz w:val="20"/>
          <w:szCs w:val="20"/>
        </w:rPr>
        <w:t xml:space="preserve">- Pricing Strategy: Review product mix and pricing to improve ASP toward peer levels. Consider promoting higher-margin models and premium configurations.</w:t>
      </w:r>
    </w:p>
    <w:p>
      <w:pPr>
        <w:spacing w:before="30" w:after="30"/>
        <w:ind w:left="360"/>
      </w:pPr>
      <w:r>
        <w:rPr>
          <w:rFonts w:ascii="Arial" w:cs="Arial" w:eastAsia="Arial" w:hAnsi="Arial"/>
          <w:sz w:val="20"/>
          <w:szCs w:val="20"/>
        </w:rPr>
        <w:t xml:space="preserve">- Sales Process Optimization: Enhance the sales process to maximize margin retention on each transaction while maintaining competitive positioning.</w:t>
      </w:r>
    </w:p>
    <w:p>
      <w:pPr>
        <w:pStyle w:val="Heading2"/>
        <w:spacing w:before="120" w:after="60"/>
      </w:pPr>
      <w:r>
        <w:rPr>
          <w:rFonts w:ascii="Arial" w:cs="Arial" w:eastAsia="Arial" w:hAnsi="Arial"/>
          <w:b/>
          <w:bCs/>
          <w:color w:val="2E75B6"/>
          <w:sz w:val="22"/>
          <w:szCs w:val="22"/>
        </w:rPr>
        <w:t xml:space="preserve">Short-Term Actions (3-6 months)</w:t>
      </w:r>
    </w:p>
    <w:p>
      <w:pPr>
        <w:spacing w:before="30" w:after="30"/>
        <w:ind w:left="360"/>
      </w:pPr>
      <w:r>
        <w:rPr>
          <w:rFonts w:ascii="Arial" w:cs="Arial" w:eastAsia="Arial" w:hAnsi="Arial"/>
          <w:sz w:val="20"/>
          <w:szCs w:val="20"/>
        </w:rPr>
        <w:t xml:space="preserve">- Unit Sales Growth: Leverage the strong market position and Performance Rewards achievement to develop targeted sales campaigns.</w:t>
      </w:r>
    </w:p>
    <w:p>
      <w:pPr>
        <w:spacing w:before="30" w:after="30"/>
        <w:ind w:left="360"/>
      </w:pPr>
      <w:r>
        <w:rPr>
          <w:rFonts w:ascii="Arial" w:cs="Arial" w:eastAsia="Arial" w:hAnsi="Arial"/>
          <w:sz w:val="20"/>
          <w:szCs w:val="20"/>
        </w:rPr>
        <w:t xml:space="preserve">- Product Mix Optimization: Analyze the product mix to identify opportunities for selling higher-margin models. Work with ABC-Moto on inventory allocation to support margin improvement.</w:t>
      </w:r>
    </w:p>
    <w:p>
      <w:pPr>
        <w:spacing w:before="30" w:after="30"/>
        <w:ind w:left="360"/>
      </w:pPr>
      <w:r>
        <w:rPr>
          <w:rFonts w:ascii="Arial" w:cs="Arial" w:eastAsia="Arial" w:hAnsi="Arial"/>
          <w:sz w:val="20"/>
          <w:szCs w:val="20"/>
        </w:rPr>
        <w:t xml:space="preserve">- Performance Rewards Maximization: Continue strong execution of manufacturer programs to maintain the competitive advantage in rewards income.</w:t>
      </w:r>
    </w:p>
    <w:p>
      <w:pPr>
        <w:pStyle w:val="Heading2"/>
        <w:spacing w:before="120" w:after="60"/>
      </w:pPr>
      <w:r>
        <w:rPr>
          <w:rFonts w:ascii="Arial" w:cs="Arial" w:eastAsia="Arial" w:hAnsi="Arial"/>
          <w:b/>
          <w:bCs/>
          <w:color w:val="2E75B6"/>
          <w:sz w:val="22"/>
          <w:szCs w:val="22"/>
        </w:rPr>
        <w:t xml:space="preserve">Long-Term Strategies (6-12 months)</w:t>
      </w:r>
    </w:p>
    <w:p>
      <w:pPr>
        <w:spacing w:before="30" w:after="30"/>
        <w:ind w:left="360"/>
      </w:pPr>
      <w:r>
        <w:rPr>
          <w:rFonts w:ascii="Arial" w:cs="Arial" w:eastAsia="Arial" w:hAnsi="Arial"/>
          <w:sz w:val="20"/>
          <w:szCs w:val="20"/>
        </w:rPr>
        <w:t xml:space="preserve">- Sustainable Growth: Build a comprehensive business development plan that balances volume with profitability. The dealership has demonstrated it can sell units; the focus should shift to improving margin per unit.</w:t>
      </w:r>
    </w:p>
    <w:p>
      <w:pPr>
        <w:spacing w:before="30" w:after="30"/>
        <w:ind w:left="360"/>
      </w:pPr>
      <w:r>
        <w:rPr>
          <w:rFonts w:ascii="Arial" w:cs="Arial" w:eastAsia="Arial" w:hAnsi="Arial"/>
          <w:sz w:val="20"/>
          <w:szCs w:val="20"/>
        </w:rPr>
        <w:t xml:space="preserve">- Market Adaptation: Continue adapting strategies to the evolving Canadian market conditions, including tariff impacts and changing consumer preferences regarding American brands.</w:t>
      </w:r>
    </w:p>
    <w:p>
      <w:pPr>
        <w:pBdr>
          <w:top w:val="single" w:color="2E75B6" w:sz="4" w:space="1"/>
        </w:pBdr>
        <w:spacing w:before="300" w:after="60"/>
      </w:pPr>
    </w:p>
    <w:p>
      <w:pPr>
        <w:spacing w:after="30"/>
      </w:pPr>
      <w:r>
        <w:rPr>
          <w:rFonts w:ascii="Arial" w:cs="Arial" w:eastAsia="Arial" w:hAnsi="Arial"/>
          <w:i/>
          <w:iCs/>
          <w:color w:val="666666"/>
          <w:sz w:val="18"/>
          <w:szCs w:val="18"/>
        </w:rPr>
        <w:t xml:space="preserve">Report prepared based on operational data for the period January 2025 to December 2025</w:t>
      </w:r>
    </w:p>
    <w:p>
      <w:pPr>
        <w:spacing w:after="30"/>
      </w:pPr>
      <w:r>
        <w:rPr>
          <w:rFonts w:ascii="Arial" w:cs="Arial" w:eastAsia="Arial" w:hAnsi="Arial"/>
          <w:i/>
          <w:iCs/>
          <w:color w:val="666666"/>
          <w:sz w:val="18"/>
          <w:szCs w:val="18"/>
        </w:rPr>
        <w:t xml:space="preserve">Analysis conducted using industry benchmarks and A-Class volume class comparisons</w:t>
      </w:r>
    </w:p>
    <w:p>
      <w:pPr>
        <w:spacing w:after="30"/>
      </w:pPr>
      <w:r>
        <w:rPr>
          <w:rFonts w:ascii="Arial" w:cs="Arial" w:eastAsia="Arial" w:hAnsi="Arial"/>
          <w:i/>
          <w:iCs/>
          <w:color w:val="666666"/>
          <w:sz w:val="18"/>
          <w:szCs w:val="18"/>
        </w:rPr>
        <w:t xml:space="preserve">Recommendations aligned with ABC-Moto dealer performance standards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Manage by Numbers Dealer Performance Scorecard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DPS - New Vehicle Sales | </w:t>
    </w:r>
    <w:r>
      <w:rPr>
        <w:rFonts w:ascii="Arial" w:cs="Arial" w:eastAsia="Arial" w:hAnsi="Arial"/>
        <w:i/>
        <w:iCs/>
        <w:color w:val="999999"/>
        <w:sz w:val="16"/>
        <w:szCs w:val="16"/>
      </w:rPr>
      <w:t xml:space="preserve">57004TEST ABC-Moto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2026-02-21T15:18:37.397Z</dcterms:created>
  <dcterms:modified xsi:type="dcterms:W3CDTF">2026-02-21T15:18:37.398Z</dcterms:modified>
</cp:coreProperties>
</file>

<file path=docProps/custom.xml><?xml version="1.0" encoding="utf-8"?>
<Properties xmlns="http://schemas.openxmlformats.org/officeDocument/2006/custom-properties" xmlns:vt="http://schemas.openxmlformats.org/officeDocument/2006/docPropsVTypes"/>
</file>