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F&amp;I Sales Department Performance Analysis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Dealership Name: 57004TEST ABC-Moto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Period: January 2025 to December 2025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Report Date: February 21, 2026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report analyzes the F&amp;I Sales department performance for 57004TEST ABC-Moto for the rolling 12-month period from January 2025 to December 2025. The F&amp;I department's performance is directly linked to new and used ABC-Moto motorcycle unit sales, which totaled 385 combined units during the period (232 new + 153 used ABC units).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F&amp;I department delivered outstanding results, with Total F&amp;I Sales of $1,390,708.21, a remarkable +50.4% increase year-over-year. The dealership significantly outperforms both the A-Class average (131.1% of class) and the national average (184.8% of national) across virtually all metrics. ABCFS ESP Penetration at 57.66% and Retail Finance Product Penetration at 55.06% both exceed benchmark ranges and peer averages. The primary area of concern is the Life &amp; Disability Insurance Penetration at just 1.89%, significantly below both benchmarks and peer averages.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strong F&amp;I performance was supported by the combined effect of new ABC motorcycle sales (232 units, -2.5% YoY) and the substantial growth in used ABC motorcycle sales (153 units, +26.4% YoY). The significant increase in used ABC units (+32 units) provided a larger base for F&amp;I product attachment, contributing materially to the department's growth.</w:t>
      </w:r>
    </w:p>
    <w:p>
      <w:pPr>
        <w:pBdr>
          <w:bottom w:val="single" w:color="2E75B6" w:sz="4" w:space="1"/>
        </w:pBdr>
        <w:spacing w:after="200"/>
      </w:pP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Detailed Performance Analysis</w:t>
      </w:r>
    </w:p>
    <w:p>
      <w:pPr>
        <w:pStyle w:val="Heading2"/>
        <w:spacing w:before="150" w:after="7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Total Finance &amp; Insurance Sales $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Current Year: $1,390,708.21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Year-over-Year Change: +50.4% ($466,202.68)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A-Class Average: 131.1% of benchmark ($1,060,897.00)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National Average: 184.8% of benchmark ($752,536.37)</w:t>
      </w:r>
    </w:p>
    <w:p>
      <w:pPr>
        <w:spacing w:before="50" w:after="90"/>
      </w:pPr>
      <w:r>
        <w:rPr>
          <w:rFonts w:ascii="Arial" w:cs="Arial" w:eastAsia="Arial" w:hAnsi="Arial"/>
          <w:sz w:val="20"/>
          <w:szCs w:val="20"/>
        </w:rPr>
        <w:t xml:space="preserve">Total F&amp;I Sales of $1,390,708.21 represents a remarkable +50.4% increase ($466,202.68) year-over-year. At 131.1% of the A-Class average and 184.8% of the national average, the dealership significantly outperforms both benchmarks. This growth was driven by the expanded unit base, particularly the substantial increase in used ABC motorcycle sales (+32 units, +26.4% YoY), which provided additional opportunities for F&amp;I product attachment. The A-Class average grew by only $32,767.08, highlighting the dealership's exceptional outperformance.</w:t>
      </w:r>
    </w:p>
    <w:p>
      <w:pPr>
        <w:pStyle w:val="Heading2"/>
        <w:spacing w:before="150" w:after="7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F&amp;I Gross Profit Per Total Units Retailed (PTUR)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Current Year: $2,110.60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Year-over-Year Change: +30.6% ($494.06)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A-Class Average: 143.7% of benchmark ($1,468.48)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National Average: 129.3% of benchmark ($1,631.91)</w:t>
      </w:r>
    </w:p>
    <w:p>
      <w:pPr>
        <w:spacing w:before="50" w:after="90"/>
      </w:pPr>
      <w:r>
        <w:rPr>
          <w:rFonts w:ascii="Arial" w:cs="Arial" w:eastAsia="Arial" w:hAnsi="Arial"/>
          <w:sz w:val="20"/>
          <w:szCs w:val="20"/>
        </w:rPr>
        <w:t xml:space="preserve">F&amp;I Gross Profit PTUR of $2,110.60 increased by +30.6% ($494.06) year-over-year. At 143.7% of the A-Class average ($1,468.48) and 129.3% of the national average ($1,631.91), the dealership substantially exceeds both benchmarks. This demonstrates strong F&amp;I product penetration and profitability per transaction across the total unit base of 385 ABC units plus additional non-ABC transactions.</w:t>
      </w:r>
    </w:p>
    <w:p>
      <w:pPr>
        <w:pStyle w:val="Heading2"/>
        <w:spacing w:before="150" w:after="7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ABCFS F&amp;I Income Per New &amp; Used ABC MC Retailed (PNUHMR)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Current Year: $3,175.13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Year-over-Year Change: +25.0% ($635.28)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A-Class Average: 135.3% of benchmark ($2,347.10)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National Average: 129.9% of benchmark ($2,443.52)</w:t>
      </w:r>
    </w:p>
    <w:p>
      <w:pPr>
        <w:spacing w:before="50" w:after="90"/>
      </w:pPr>
      <w:r>
        <w:rPr>
          <w:rFonts w:ascii="Arial" w:cs="Arial" w:eastAsia="Arial" w:hAnsi="Arial"/>
          <w:sz w:val="20"/>
          <w:szCs w:val="20"/>
        </w:rPr>
        <w:t xml:space="preserve">ABCFS F&amp;I Income PNUHMR of $3,175.13 increased by +25.0% ($635.28) year-over-year. At 135.3% of the A-Class average and 129.9% of the national average, the dealership outperforms both benchmarks significantly. This metric reflects the F&amp;I income generated per each of the 385 new and used ABC motorcycles retailed, and the year-over-year improvement demonstrates improving F&amp;I attachment rates and effective product presentation.</w:t>
      </w:r>
    </w:p>
    <w:p>
      <w:pPr>
        <w:pStyle w:val="Heading2"/>
        <w:spacing w:before="150" w:after="7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ABCFS F&amp;I Gross Profit Per New &amp; Used ABC MC Retailed (PNUHMR)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Current Year: $1,932.31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Year-over-Year Change: +16.3% ($271.36)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A-Class Average: 136.8% of benchmark ($1,412.34)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National Average: 128.8% of benchmark ($1,500.48)</w:t>
      </w:r>
    </w:p>
    <w:p>
      <w:pPr>
        <w:spacing w:before="50" w:after="90"/>
      </w:pPr>
      <w:r>
        <w:rPr>
          <w:rFonts w:ascii="Arial" w:cs="Arial" w:eastAsia="Arial" w:hAnsi="Arial"/>
          <w:sz w:val="20"/>
          <w:szCs w:val="20"/>
        </w:rPr>
        <w:t xml:space="preserve">ABCFS F&amp;I Gross Profit PNUHMR of $1,932.31 increased by +16.3% ($271.36) year-over-year. At 136.8% of the A-Class average ($1,412.34) and 128.8% of the national average ($1,500.48), this demonstrates strong F&amp;I profitability per ABC motorcycle transaction. The growth in this metric, combined with the expanded unit base, has driven the overall F&amp;I department profitability improvement.</w:t>
      </w:r>
    </w:p>
    <w:p>
      <w:pPr>
        <w:pStyle w:val="Heading2"/>
        <w:spacing w:before="150" w:after="7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ABCFS ESP Penetration %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Current Year: 57.66%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Year-over-Year Change: +29.4% (13.09 pp)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A-Class Average: 131.9% of benchmark (43.73%)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National Average: 123.4% of benchmark (46.72%)</w:t>
      </w:r>
    </w:p>
    <w:p>
      <w:pPr>
        <w:spacing w:before="30" w:after="3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Assessment: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Good (within benchmark range)</w:t>
      </w:r>
    </w:p>
    <w:p>
      <w:pPr>
        <w:spacing w:before="50" w:after="90"/>
      </w:pPr>
      <w:r>
        <w:rPr>
          <w:rFonts w:ascii="Arial" w:cs="Arial" w:eastAsia="Arial" w:hAnsi="Arial"/>
          <w:sz w:val="20"/>
          <w:szCs w:val="20"/>
        </w:rPr>
        <w:t xml:space="preserve">ABCFS ESP Penetration of 57.66% improved significantly by 13.09 percentage points (+29.4%) year-over-year. Within the benchmark range of 45.0% to 60.0%, this is assessed as Good. At 131.9% of the A-Class average (43.73%) and 123.4% of the national average (46.72%), the dealership substantially outperforms both benchmarks. The strong ESP penetration rate indicates effective presentation of extended service plans to customers purchasing both new and used ABC motorcycles.</w:t>
      </w:r>
    </w:p>
    <w:p>
      <w:pPr>
        <w:pStyle w:val="Heading2"/>
        <w:spacing w:before="150" w:after="7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 ABCFS Retail Finance Product Penetration %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Current Year: 55.06%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Year-over-Year Change: -2.6% (-1.48 pp)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A-Class Average: 103.3% of benchmark (53.32%)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National Average: 101.7% of benchmark (54.14%)</w:t>
      </w:r>
    </w:p>
    <w:p>
      <w:pPr>
        <w:spacing w:before="30" w:after="3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Assessment: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Good (within benchmark range)</w:t>
      </w:r>
    </w:p>
    <w:p>
      <w:pPr>
        <w:spacing w:before="50" w:after="90"/>
      </w:pPr>
      <w:r>
        <w:rPr>
          <w:rFonts w:ascii="Arial" w:cs="Arial" w:eastAsia="Arial" w:hAnsi="Arial"/>
          <w:sz w:val="20"/>
          <w:szCs w:val="20"/>
        </w:rPr>
        <w:t xml:space="preserve">ABCFS Retail Finance Product Penetration of 55.06% remained relatively stable with a slight decline of 1.48 percentage points year-over-year. Within the benchmark range of 45.0% to 60.0%, this is assessed as Good. At 103.3% of the A-Class average (53.32%) and 101.7% of the national average (54.14%), the dealership exceeds both benchmarks. The stable penetration rate amidst challenging market conditions reflects effective finance presentation processes.</w:t>
      </w:r>
    </w:p>
    <w:p>
      <w:pPr>
        <w:pStyle w:val="Heading2"/>
        <w:spacing w:before="150" w:after="7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 Life &amp; Disability Insurance Penetration %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Current Year: 1.89%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Year-over-Year Change: +283.0% (1.39 pp)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A-Class Average: 6.6% of benchmark (28.71%)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National Average: 6.9% of benchmark (27.54%)</w:t>
      </w:r>
    </w:p>
    <w:p>
      <w:pPr>
        <w:spacing w:before="30" w:after="3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Assessment: 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Substandard (below benchmark minimum)</w:t>
      </w:r>
    </w:p>
    <w:p>
      <w:pPr>
        <w:spacing w:before="50" w:after="90"/>
      </w:pPr>
      <w:r>
        <w:rPr>
          <w:rFonts w:ascii="Arial" w:cs="Arial" w:eastAsia="Arial" w:hAnsi="Arial"/>
          <w:sz w:val="20"/>
          <w:szCs w:val="20"/>
        </w:rPr>
        <w:t xml:space="preserve">Life &amp; Disability Insurance Penetration of 1.89% is significantly below the benchmark minimum of 20.0%. While the rate improved dramatically by 1.39 percentage points (+283.0%) year-over-year, it remains at just 6.6% of the A-Class average (28.71%) and 6.9% of the national average (27.54%). This is the most significant area of underperformance in the F&amp;I department and represents a substantial opportunity for incremental income. The near-tripling of the penetration rate year-over-year suggests recent focus on this product, but significant improvement is still needed to approach benchmark and peer levels.</w:t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Impact of New and Used ABC Unit Sales on F&amp;I Performance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F&amp;I department's performance is directly driven by the volume of new and used ABC motorcycle sales. During the period, the dealership retailed 232 new ABC motorcycles (-2.5% YoY) and 153 used ABC motorcycles (+26.4% YoY), for a combined total of 385 ABC units. The significant growth in used ABC units (+32 units) was the primary driver of F&amp;I sales growth, as each additional unit provides an opportunity for F&amp;I product attachment. Despite the slight decline in new ABC units (-6 units), the net increase of 26 total ABC units, combined with improved per-unit F&amp;I metrics, drove the +50.4% increase in total F&amp;I sales. The F&amp;I team has effectively capitalized on both the expanded used vehicle business and maintained strong penetration rates across the product suite, delivering exceptional department results.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Performance Score Assessment</w:t>
      </w:r>
    </w:p>
    <w:p>
      <w:pPr>
        <w:pStyle w:val="Heading2"/>
        <w:spacing w:before="13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Departmental Sales Performance (30% weight)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Score: </w:t>
      </w:r>
      <w:r>
        <w:rPr>
          <w:rFonts w:ascii="Arial" w:cs="Arial" w:eastAsia="Arial" w:hAnsi="Arial"/>
          <w:b/>
          <w:bCs/>
          <w:color w:val="006400"/>
          <w:sz w:val="21"/>
          <w:szCs w:val="21"/>
        </w:rPr>
        <w:t xml:space="preserve">85/100</w:t>
      </w:r>
    </w:p>
    <w:p>
      <w:pPr>
        <w:spacing w:before="20" w:after="15"/>
      </w:pP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Primary Factors:</w:t>
      </w:r>
    </w:p>
    <w:p>
      <w:pPr>
        <w:spacing w:before="10" w:after="10"/>
        <w:ind w:left="360"/>
      </w:pPr>
      <w:r>
        <w:rPr>
          <w:rFonts w:ascii="Arial" w:cs="Arial" w:eastAsia="Arial" w:hAnsi="Arial"/>
          <w:sz w:val="19"/>
          <w:szCs w:val="19"/>
        </w:rPr>
        <w:t xml:space="preserve">- Total F&amp;I Sales increased 50.4% YoY, exceptional growth</w:t>
      </w:r>
    </w:p>
    <w:p>
      <w:pPr>
        <w:spacing w:before="10" w:after="10"/>
        <w:ind w:left="360"/>
      </w:pPr>
      <w:r>
        <w:rPr>
          <w:rFonts w:ascii="Arial" w:cs="Arial" w:eastAsia="Arial" w:hAnsi="Arial"/>
          <w:sz w:val="19"/>
          <w:szCs w:val="19"/>
        </w:rPr>
        <w:t xml:space="preserve">- Sales exceed A-Class average by 31.1% and national by 84.8%</w:t>
      </w:r>
    </w:p>
    <w:p>
      <w:pPr>
        <w:spacing w:before="10" w:after="10"/>
        <w:ind w:left="360"/>
      </w:pPr>
      <w:r>
        <w:rPr>
          <w:rFonts w:ascii="Arial" w:cs="Arial" w:eastAsia="Arial" w:hAnsi="Arial"/>
          <w:sz w:val="19"/>
          <w:szCs w:val="19"/>
        </w:rPr>
        <w:t xml:space="preserve">- Growth driven by expanded unit base and improved per-unit metrics</w:t>
      </w:r>
    </w:p>
    <w:p>
      <w:pPr>
        <w:spacing w:before="10" w:after="10"/>
        <w:ind w:left="360"/>
      </w:pPr>
      <w:r>
        <w:rPr>
          <w:rFonts w:ascii="Arial" w:cs="Arial" w:eastAsia="Arial" w:hAnsi="Arial"/>
          <w:sz w:val="19"/>
          <w:szCs w:val="19"/>
        </w:rPr>
        <w:t xml:space="preserve">- A-Class average grew only $32,767 vs dealership growth of $466,203</w:t>
      </w:r>
    </w:p>
    <w:p>
      <w:pPr>
        <w:pStyle w:val="Heading2"/>
        <w:spacing w:before="13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Departmental Gross Profit Performance (25% weight)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Score: </w:t>
      </w:r>
      <w:r>
        <w:rPr>
          <w:rFonts w:ascii="Arial" w:cs="Arial" w:eastAsia="Arial" w:hAnsi="Arial"/>
          <w:b/>
          <w:bCs/>
          <w:color w:val="006400"/>
          <w:sz w:val="21"/>
          <w:szCs w:val="21"/>
        </w:rPr>
        <w:t xml:space="preserve">80/100</w:t>
      </w:r>
    </w:p>
    <w:p>
      <w:pPr>
        <w:spacing w:before="20" w:after="15"/>
      </w:pP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Primary Factors:</w:t>
      </w:r>
    </w:p>
    <w:p>
      <w:pPr>
        <w:spacing w:before="10" w:after="10"/>
        <w:ind w:left="360"/>
      </w:pPr>
      <w:r>
        <w:rPr>
          <w:rFonts w:ascii="Arial" w:cs="Arial" w:eastAsia="Arial" w:hAnsi="Arial"/>
          <w:sz w:val="19"/>
          <w:szCs w:val="19"/>
        </w:rPr>
        <w:t xml:space="preserve">- F&amp;I Gross Profit PTUR at $2,111, exceeds A-Class by 43.7%</w:t>
      </w:r>
    </w:p>
    <w:p>
      <w:pPr>
        <w:spacing w:before="10" w:after="10"/>
        <w:ind w:left="360"/>
      </w:pPr>
      <w:r>
        <w:rPr>
          <w:rFonts w:ascii="Arial" w:cs="Arial" w:eastAsia="Arial" w:hAnsi="Arial"/>
          <w:sz w:val="19"/>
          <w:szCs w:val="19"/>
        </w:rPr>
        <w:t xml:space="preserve">- ABCFS F&amp;I Gross Profit PNUHMR at $1,932, exceeds A-Class by 36.8%</w:t>
      </w:r>
    </w:p>
    <w:p>
      <w:pPr>
        <w:spacing w:before="10" w:after="10"/>
        <w:ind w:left="360"/>
      </w:pPr>
      <w:r>
        <w:rPr>
          <w:rFonts w:ascii="Arial" w:cs="Arial" w:eastAsia="Arial" w:hAnsi="Arial"/>
          <w:sz w:val="19"/>
          <w:szCs w:val="19"/>
        </w:rPr>
        <w:t xml:space="preserve">- Strong per-unit profitability across all metrics</w:t>
      </w:r>
    </w:p>
    <w:p>
      <w:pPr>
        <w:spacing w:before="10" w:after="10"/>
        <w:ind w:left="360"/>
      </w:pPr>
      <w:r>
        <w:rPr>
          <w:rFonts w:ascii="Arial" w:cs="Arial" w:eastAsia="Arial" w:hAnsi="Arial"/>
          <w:sz w:val="19"/>
          <w:szCs w:val="19"/>
        </w:rPr>
        <w:t xml:space="preserve">- Year-over-year improvement in all profit per unit measures</w:t>
      </w:r>
    </w:p>
    <w:p>
      <w:pPr>
        <w:pStyle w:val="Heading2"/>
        <w:spacing w:before="13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Cost Management (20% weight)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Score: </w:t>
      </w:r>
      <w:r>
        <w:rPr>
          <w:rFonts w:ascii="Arial" w:cs="Arial" w:eastAsia="Arial" w:hAnsi="Arial"/>
          <w:b/>
          <w:bCs/>
          <w:color w:val="006400"/>
          <w:sz w:val="21"/>
          <w:szCs w:val="21"/>
        </w:rPr>
        <w:t xml:space="preserve">78/100</w:t>
      </w:r>
    </w:p>
    <w:p>
      <w:pPr>
        <w:spacing w:before="20" w:after="15"/>
      </w:pP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Primary Factors:</w:t>
      </w:r>
    </w:p>
    <w:p>
      <w:pPr>
        <w:spacing w:before="10" w:after="10"/>
        <w:ind w:left="360"/>
      </w:pPr>
      <w:r>
        <w:rPr>
          <w:rFonts w:ascii="Arial" w:cs="Arial" w:eastAsia="Arial" w:hAnsi="Arial"/>
          <w:sz w:val="19"/>
          <w:szCs w:val="19"/>
        </w:rPr>
        <w:t xml:space="preserve">- ESP Penetration at 57.7%, within good range of benchmark</w:t>
      </w:r>
    </w:p>
    <w:p>
      <w:pPr>
        <w:spacing w:before="10" w:after="10"/>
        <w:ind w:left="360"/>
      </w:pPr>
      <w:r>
        <w:rPr>
          <w:rFonts w:ascii="Arial" w:cs="Arial" w:eastAsia="Arial" w:hAnsi="Arial"/>
          <w:sz w:val="19"/>
          <w:szCs w:val="19"/>
        </w:rPr>
        <w:t xml:space="preserve">- Retail Finance Penetration at 55.1%, within good range</w:t>
      </w:r>
    </w:p>
    <w:p>
      <w:pPr>
        <w:spacing w:before="10" w:after="10"/>
        <w:ind w:left="360"/>
      </w:pPr>
      <w:r>
        <w:rPr>
          <w:rFonts w:ascii="Arial" w:cs="Arial" w:eastAsia="Arial" w:hAnsi="Arial"/>
          <w:sz w:val="19"/>
          <w:szCs w:val="19"/>
        </w:rPr>
        <w:t xml:space="preserve">- Effective utilization of ABCFS products</w:t>
      </w:r>
    </w:p>
    <w:p>
      <w:pPr>
        <w:spacing w:before="10" w:after="10"/>
        <w:ind w:left="360"/>
      </w:pPr>
      <w:r>
        <w:rPr>
          <w:rFonts w:ascii="Arial" w:cs="Arial" w:eastAsia="Arial" w:hAnsi="Arial"/>
          <w:sz w:val="19"/>
          <w:szCs w:val="19"/>
        </w:rPr>
        <w:t xml:space="preserve">- Life &amp; Disability at 1.89%, significantly substandard</w:t>
      </w:r>
    </w:p>
    <w:p>
      <w:pPr>
        <w:pStyle w:val="Heading2"/>
        <w:spacing w:before="13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Market Position/Growth (15% weight)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Score: </w:t>
      </w:r>
      <w:r>
        <w:rPr>
          <w:rFonts w:ascii="Arial" w:cs="Arial" w:eastAsia="Arial" w:hAnsi="Arial"/>
          <w:b/>
          <w:bCs/>
          <w:color w:val="006400"/>
          <w:sz w:val="21"/>
          <w:szCs w:val="21"/>
        </w:rPr>
        <w:t xml:space="preserve">82/100</w:t>
      </w:r>
    </w:p>
    <w:p>
      <w:pPr>
        <w:spacing w:before="20" w:after="15"/>
      </w:pP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Primary Factors:</w:t>
      </w:r>
    </w:p>
    <w:p>
      <w:pPr>
        <w:spacing w:before="10" w:after="10"/>
        <w:ind w:left="360"/>
      </w:pPr>
      <w:r>
        <w:rPr>
          <w:rFonts w:ascii="Arial" w:cs="Arial" w:eastAsia="Arial" w:hAnsi="Arial"/>
          <w:sz w:val="19"/>
          <w:szCs w:val="19"/>
        </w:rPr>
        <w:t xml:space="preserve">- Outperforms A-Class and national averages across virtually all metrics</w:t>
      </w:r>
    </w:p>
    <w:p>
      <w:pPr>
        <w:spacing w:before="10" w:after="10"/>
        <w:ind w:left="360"/>
      </w:pPr>
      <w:r>
        <w:rPr>
          <w:rFonts w:ascii="Arial" w:cs="Arial" w:eastAsia="Arial" w:hAnsi="Arial"/>
          <w:sz w:val="19"/>
          <w:szCs w:val="19"/>
        </w:rPr>
        <w:t xml:space="preserve">- ESP and Finance penetration significantly exceed peer levels</w:t>
      </w:r>
    </w:p>
    <w:p>
      <w:pPr>
        <w:spacing w:before="10" w:after="10"/>
        <w:ind w:left="360"/>
      </w:pPr>
      <w:r>
        <w:rPr>
          <w:rFonts w:ascii="Arial" w:cs="Arial" w:eastAsia="Arial" w:hAnsi="Arial"/>
          <w:sz w:val="19"/>
          <w:szCs w:val="19"/>
        </w:rPr>
        <w:t xml:space="preserve">- Strong F&amp;I income per ABC unit retailed at 135.3% of class</w:t>
      </w:r>
    </w:p>
    <w:p>
      <w:pPr>
        <w:spacing w:before="10" w:after="10"/>
        <w:ind w:left="360"/>
      </w:pPr>
      <w:r>
        <w:rPr>
          <w:rFonts w:ascii="Arial" w:cs="Arial" w:eastAsia="Arial" w:hAnsi="Arial"/>
          <w:sz w:val="19"/>
          <w:szCs w:val="19"/>
        </w:rPr>
        <w:t xml:space="preserve">- Growth trajectory well above peer group</w:t>
      </w:r>
    </w:p>
    <w:p>
      <w:pPr>
        <w:pStyle w:val="Heading2"/>
        <w:spacing w:before="13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Operational Efficiency (10% weight)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Score: </w:t>
      </w: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72/100</w:t>
      </w:r>
    </w:p>
    <w:p>
      <w:pPr>
        <w:spacing w:before="20" w:after="15"/>
      </w:pP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Primary Factors:</w:t>
      </w:r>
    </w:p>
    <w:p>
      <w:pPr>
        <w:spacing w:before="10" w:after="10"/>
        <w:ind w:left="360"/>
      </w:pPr>
      <w:r>
        <w:rPr>
          <w:rFonts w:ascii="Arial" w:cs="Arial" w:eastAsia="Arial" w:hAnsi="Arial"/>
          <w:sz w:val="19"/>
          <w:szCs w:val="19"/>
        </w:rPr>
        <w:t xml:space="preserve">- Effective F&amp;I product presentation processes</w:t>
      </w:r>
    </w:p>
    <w:p>
      <w:pPr>
        <w:spacing w:before="10" w:after="10"/>
        <w:ind w:left="360"/>
      </w:pPr>
      <w:r>
        <w:rPr>
          <w:rFonts w:ascii="Arial" w:cs="Arial" w:eastAsia="Arial" w:hAnsi="Arial"/>
          <w:sz w:val="19"/>
          <w:szCs w:val="19"/>
        </w:rPr>
        <w:t xml:space="preserve">- Strong attachment rates across ESP and Finance products</w:t>
      </w:r>
    </w:p>
    <w:p>
      <w:pPr>
        <w:spacing w:before="10" w:after="10"/>
        <w:ind w:left="360"/>
      </w:pPr>
      <w:r>
        <w:rPr>
          <w:rFonts w:ascii="Arial" w:cs="Arial" w:eastAsia="Arial" w:hAnsi="Arial"/>
          <w:sz w:val="19"/>
          <w:szCs w:val="19"/>
        </w:rPr>
        <w:t xml:space="preserve">- Life &amp; Disability Insurance penetration is a significant gap</w:t>
      </w:r>
    </w:p>
    <w:p>
      <w:pPr>
        <w:spacing w:before="10" w:after="10"/>
        <w:ind w:left="360"/>
      </w:pPr>
      <w:r>
        <w:rPr>
          <w:rFonts w:ascii="Arial" w:cs="Arial" w:eastAsia="Arial" w:hAnsi="Arial"/>
          <w:sz w:val="19"/>
          <w:szCs w:val="19"/>
        </w:rPr>
        <w:t xml:space="preserve">- Year-over-year improvements demonstrate operational focus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Department Performance Score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1560"/>
        <w:gridCol w:w="1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 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Weighted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Departmental Sales Performance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20"/>
                <w:szCs w:val="20"/>
              </w:rPr>
              <w:t xml:space="preserve">85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Departmental Gross Profit Performance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20"/>
                <w:szCs w:val="20"/>
              </w:rPr>
              <w:t xml:space="preserve">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20"/>
                <w:szCs w:val="20"/>
              </w:rPr>
              <w:t xml:space="preserve">78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 Position/Growth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20"/>
                <w:szCs w:val="20"/>
              </w:rPr>
              <w:t xml:space="preserve">82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Operational Efficiency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72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Above Avg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80.6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Strong</w:t>
            </w:r>
          </w:p>
        </w:tc>
      </w:tr>
    </w:tbl>
    <w:p>
      <w:pPr>
        <w:spacing w:before="120" w:after="200"/>
      </w:pPr>
      <w:r>
        <w:rPr>
          <w:rFonts w:ascii="Arial" w:cs="Arial" w:eastAsia="Arial" w:hAnsi="Arial"/>
          <w:b/>
          <w:bCs/>
          <w:color w:val="006400"/>
          <w:sz w:val="22"/>
          <w:szCs w:val="22"/>
        </w:rPr>
        <w:t xml:space="preserve">Overall Weighted Score: 80.6/100 - Strong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006400"/>
          <w:sz w:val="28"/>
          <w:szCs w:val="28"/>
        </w:rPr>
        <w:t xml:space="preserve">Key Strengths</w:t>
      </w:r>
    </w:p>
    <w:p>
      <w:pPr>
        <w:spacing w:before="35" w:after="35"/>
        <w:ind w:left="360"/>
      </w:pPr>
      <w:r>
        <w:rPr>
          <w:rFonts w:ascii="Arial" w:cs="Arial" w:eastAsia="Arial" w:hAnsi="Arial"/>
          <w:sz w:val="21"/>
          <w:szCs w:val="21"/>
        </w:rPr>
        <w:t xml:space="preserve">1. Total F&amp;I Sales growth of 50.4% YoY, reaching $1,390,708 - significantly exceeding A-Class and national averages</w:t>
      </w:r>
    </w:p>
    <w:p>
      <w:pPr>
        <w:spacing w:before="35" w:after="35"/>
        <w:ind w:left="360"/>
      </w:pPr>
      <w:r>
        <w:rPr>
          <w:rFonts w:ascii="Arial" w:cs="Arial" w:eastAsia="Arial" w:hAnsi="Arial"/>
          <w:sz w:val="21"/>
          <w:szCs w:val="21"/>
        </w:rPr>
        <w:t xml:space="preserve">2. F&amp;I Gross Profit PTUR of $2,111, exceeding A-Class average by 43.7% and national by 29.3%</w:t>
      </w:r>
    </w:p>
    <w:p>
      <w:pPr>
        <w:spacing w:before="35" w:after="35"/>
        <w:ind w:left="360"/>
      </w:pPr>
      <w:r>
        <w:rPr>
          <w:rFonts w:ascii="Arial" w:cs="Arial" w:eastAsia="Arial" w:hAnsi="Arial"/>
          <w:sz w:val="21"/>
          <w:szCs w:val="21"/>
        </w:rPr>
        <w:t xml:space="preserve">3. ABCFS ESP Penetration at 57.7%, exceeding benchmark range and A-Class average by 31.9%</w:t>
      </w:r>
    </w:p>
    <w:p>
      <w:pPr>
        <w:spacing w:before="35" w:after="35"/>
        <w:ind w:left="360"/>
      </w:pPr>
      <w:r>
        <w:rPr>
          <w:rFonts w:ascii="Arial" w:cs="Arial" w:eastAsia="Arial" w:hAnsi="Arial"/>
          <w:sz w:val="21"/>
          <w:szCs w:val="21"/>
        </w:rPr>
        <w:t xml:space="preserve">4. Strong ABCFS Retail Finance Product Penetration at 55.1%, exceeding benchmarks</w:t>
      </w:r>
    </w:p>
    <w:p>
      <w:pPr>
        <w:spacing w:before="35" w:after="35"/>
        <w:ind w:left="360"/>
      </w:pPr>
      <w:r>
        <w:rPr>
          <w:rFonts w:ascii="Arial" w:cs="Arial" w:eastAsia="Arial" w:hAnsi="Arial"/>
          <w:sz w:val="21"/>
          <w:szCs w:val="21"/>
        </w:rPr>
        <w:t xml:space="preserve">5. All per-unit F&amp;I metrics substantially exceed both A-Class and national averages</w:t>
      </w:r>
    </w:p>
    <w:p>
      <w:pPr>
        <w:spacing w:before="35" w:after="35"/>
        <w:ind w:left="360"/>
      </w:pPr>
      <w:r>
        <w:rPr>
          <w:rFonts w:ascii="Arial" w:cs="Arial" w:eastAsia="Arial" w:hAnsi="Arial"/>
          <w:sz w:val="21"/>
          <w:szCs w:val="21"/>
        </w:rPr>
        <w:t xml:space="preserve">6. Effective capitalization on used ABC unit sales growth to drive F&amp;I revenue expansion</w:t>
      </w: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Areas Requiring Attention</w:t>
      </w:r>
    </w:p>
    <w:p>
      <w:pPr>
        <w:spacing w:before="35" w:after="35"/>
        <w:ind w:left="360"/>
      </w:pPr>
      <w:r>
        <w:rPr>
          <w:rFonts w:ascii="Arial" w:cs="Arial" w:eastAsia="Arial" w:hAnsi="Arial"/>
          <w:sz w:val="21"/>
          <w:szCs w:val="21"/>
        </w:rPr>
        <w:t xml:space="preserve">1. Life &amp; Disability Insurance Penetration at 1.89%, significantly substandard (benchmark minimum 20.0%)</w:t>
      </w:r>
    </w:p>
    <w:p>
      <w:pPr>
        <w:spacing w:before="35" w:after="35"/>
        <w:ind w:left="360"/>
      </w:pPr>
      <w:r>
        <w:rPr>
          <w:rFonts w:ascii="Arial" w:cs="Arial" w:eastAsia="Arial" w:hAnsi="Arial"/>
          <w:sz w:val="21"/>
          <w:szCs w:val="21"/>
        </w:rPr>
        <w:t xml:space="preserve">2. L&amp;D Penetration at just 6.6% of A-Class average (28.7%) and 6.9% of national average (27.5%)</w:t>
      </w:r>
    </w:p>
    <w:p>
      <w:pPr>
        <w:spacing w:before="35" w:after="35"/>
        <w:ind w:left="360"/>
      </w:pPr>
      <w:r>
        <w:rPr>
          <w:rFonts w:ascii="Arial" w:cs="Arial" w:eastAsia="Arial" w:hAnsi="Arial"/>
          <w:sz w:val="21"/>
          <w:szCs w:val="21"/>
        </w:rPr>
        <w:t xml:space="preserve">3. Substantial untapped revenue opportunity in Life &amp; Disability products</w:t>
      </w: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Strategic Recommendations</w:t>
      </w:r>
    </w:p>
    <w:p>
      <w:pPr>
        <w:pStyle w:val="Heading2"/>
        <w:spacing w:before="12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Immediate Actions (0-3 months)</w:t>
      </w:r>
    </w:p>
    <w:p>
      <w:pPr>
        <w:spacing w:before="25" w:after="25"/>
        <w:ind w:left="360"/>
      </w:pPr>
      <w:r>
        <w:rPr>
          <w:rFonts w:ascii="Arial" w:cs="Arial" w:eastAsia="Arial" w:hAnsi="Arial"/>
          <w:sz w:val="20"/>
          <w:szCs w:val="20"/>
        </w:rPr>
        <w:t xml:space="preserve">- Life &amp; Disability Insurance Focus: Implement an immediate action plan to improve L&amp;D penetration. This includes mandatory L&amp;D presentation in every F&amp;I transaction, with a target of reaching 10% penetration within 3 months.</w:t>
      </w:r>
    </w:p>
    <w:p>
      <w:pPr>
        <w:spacing w:before="25" w:after="25"/>
        <w:ind w:left="360"/>
      </w:pPr>
      <w:r>
        <w:rPr>
          <w:rFonts w:ascii="Arial" w:cs="Arial" w:eastAsia="Arial" w:hAnsi="Arial"/>
          <w:sz w:val="20"/>
          <w:szCs w:val="20"/>
        </w:rPr>
        <w:t xml:space="preserve">- Training Investment: Provide specialized L&amp;D product training to the F&amp;I team, focusing on value presentation and objection handling techniques specific to this product line.</w:t>
      </w:r>
    </w:p>
    <w:p>
      <w:pPr>
        <w:spacing w:before="25" w:after="25"/>
        <w:ind w:left="360"/>
      </w:pPr>
      <w:r>
        <w:rPr>
          <w:rFonts w:ascii="Arial" w:cs="Arial" w:eastAsia="Arial" w:hAnsi="Arial"/>
          <w:sz w:val="20"/>
          <w:szCs w:val="20"/>
        </w:rPr>
        <w:t xml:space="preserve">- Process Review: Ensure L&amp;D is presented as part of the standard menu presentation process in every transaction.</w:t>
      </w:r>
    </w:p>
    <w:p>
      <w:pPr>
        <w:pStyle w:val="Heading2"/>
        <w:spacing w:before="12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Short-Term Actions (3-6 months)</w:t>
      </w:r>
    </w:p>
    <w:p>
      <w:pPr>
        <w:spacing w:before="25" w:after="25"/>
        <w:ind w:left="360"/>
      </w:pPr>
      <w:r>
        <w:rPr>
          <w:rFonts w:ascii="Arial" w:cs="Arial" w:eastAsia="Arial" w:hAnsi="Arial"/>
          <w:sz w:val="20"/>
          <w:szCs w:val="20"/>
        </w:rPr>
        <w:t xml:space="preserve">- L&amp;D Penetration Target: Target achieving 15-20% L&amp;D penetration within 6 months, which would bring the metric closer to the benchmark minimum and potentially add significant incremental income.</w:t>
      </w:r>
    </w:p>
    <w:p>
      <w:pPr>
        <w:spacing w:before="25" w:after="25"/>
        <w:ind w:left="360"/>
      </w:pPr>
      <w:r>
        <w:rPr>
          <w:rFonts w:ascii="Arial" w:cs="Arial" w:eastAsia="Arial" w:hAnsi="Arial"/>
          <w:sz w:val="20"/>
          <w:szCs w:val="20"/>
        </w:rPr>
        <w:t xml:space="preserve">- ESP Excellence: Maintain and build on the strong ESP penetration by targeting the benchmark maximum of 60.0%, which would further strengthen per-unit F&amp;I profitability.</w:t>
      </w:r>
    </w:p>
    <w:p>
      <w:pPr>
        <w:spacing w:before="25" w:after="25"/>
        <w:ind w:left="360"/>
      </w:pPr>
      <w:r>
        <w:rPr>
          <w:rFonts w:ascii="Arial" w:cs="Arial" w:eastAsia="Arial" w:hAnsi="Arial"/>
          <w:sz w:val="20"/>
          <w:szCs w:val="20"/>
        </w:rPr>
        <w:t xml:space="preserve">- Continue Unit Sales Support: Work closely with the New and Used Vehicle departments to maintain and grow the unit sales base, as each additional unit provides F&amp;I income opportunity.</w:t>
      </w:r>
    </w:p>
    <w:p>
      <w:pPr>
        <w:pStyle w:val="Heading2"/>
        <w:spacing w:before="12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Long-Term Strategies (6-12 months)</w:t>
      </w:r>
    </w:p>
    <w:p>
      <w:pPr>
        <w:spacing w:before="25" w:after="25"/>
        <w:ind w:left="360"/>
      </w:pPr>
      <w:r>
        <w:rPr>
          <w:rFonts w:ascii="Arial" w:cs="Arial" w:eastAsia="Arial" w:hAnsi="Arial"/>
          <w:sz w:val="20"/>
          <w:szCs w:val="20"/>
        </w:rPr>
        <w:t xml:space="preserve">- Comprehensive F&amp;I Excellence: Maintain the department's position as a leader in F&amp;I performance among A-Class and national peers. The combination of strong penetration rates and high per-unit profitability positions the department as a significant profit center.</w:t>
      </w:r>
    </w:p>
    <w:p>
      <w:pPr>
        <w:spacing w:before="25" w:after="25"/>
        <w:ind w:left="360"/>
      </w:pPr>
      <w:r>
        <w:rPr>
          <w:rFonts w:ascii="Arial" w:cs="Arial" w:eastAsia="Arial" w:hAnsi="Arial"/>
          <w:sz w:val="20"/>
          <w:szCs w:val="20"/>
        </w:rPr>
        <w:t xml:space="preserve">- Product Mix Optimization: Evaluate the full range of F&amp;I products to identify additional revenue opportunities beyond the current product suite, while maintaining focus on closing the L&amp;D insurance gap.</w:t>
      </w:r>
    </w:p>
    <w:p>
      <w:pPr>
        <w:pBdr>
          <w:top w:val="single" w:color="2E75B6" w:sz="4" w:space="1"/>
        </w:pBdr>
        <w:spacing w:before="300" w:after="60"/>
      </w:pPr>
    </w:p>
    <w:p>
      <w:pPr>
        <w:spacing w:after="3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Report prepared based on operational data for the period January 2025 to December 2025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Analysis conducted using industry benchmarks and A-Class volume class comparisons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Manage by Numbers Dealer Performance Scorecard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DPS - F&amp;I Sales | </w:t>
    </w: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57004TEST ABC-Moto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2026-02-21T15:22:58.283Z</dcterms:created>
  <dcterms:modified xsi:type="dcterms:W3CDTF">2026-02-21T15:22:58.284Z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