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00"/>
        <w:jc w:val="center"/>
      </w:pPr>
      <w:r>
        <w:rPr>
          <w:rFonts w:ascii="Arial" w:cs="Arial" w:eastAsia="Arial" w:hAnsi="Arial"/>
          <w:b/>
          <w:bCs/>
          <w:color w:val="1F3864"/>
          <w:sz w:val="32"/>
          <w:szCs w:val="32"/>
        </w:rPr>
        <w:t xml:space="preserve">P&amp;A Sales Department Performance Analysis</w:t>
      </w:r>
    </w:p>
    <w:p>
      <w:pPr>
        <w:spacing w:after="60"/>
        <w:jc w:val="center"/>
      </w:pPr>
      <w:r>
        <w:rPr>
          <w:rFonts w:ascii="Arial" w:cs="Arial" w:eastAsia="Arial" w:hAnsi="Arial"/>
          <w:b/>
          <w:bCs/>
          <w:sz w:val="24"/>
          <w:szCs w:val="24"/>
        </w:rPr>
        <w:t xml:space="preserve">Dealership Name: 57004TEST ABC-Moto</w:t>
      </w:r>
    </w:p>
    <w:p>
      <w:pPr>
        <w:spacing w:after="60"/>
        <w:jc w:val="center"/>
      </w:pPr>
      <w:r>
        <w:rPr>
          <w:rFonts w:ascii="Arial" w:cs="Arial" w:eastAsia="Arial" w:hAnsi="Arial"/>
          <w:b/>
          <w:bCs/>
          <w:sz w:val="24"/>
          <w:szCs w:val="24"/>
        </w:rPr>
        <w:t xml:space="preserve">Period: January 2025 to December 2025</w:t>
      </w:r>
    </w:p>
    <w:p>
      <w:pPr>
        <w:spacing w:after="200"/>
        <w:jc w:val="center"/>
      </w:pPr>
      <w:r>
        <w:rPr>
          <w:rFonts w:ascii="Arial" w:cs="Arial" w:eastAsia="Arial" w:hAnsi="Arial"/>
          <w:sz w:val="22"/>
          <w:szCs w:val="22"/>
        </w:rPr>
        <w:t xml:space="preserve">Report Date: February 21, 2026</w:t>
      </w:r>
    </w:p>
    <w:p>
      <w:pPr>
        <w:pBdr>
          <w:bottom w:val="single" w:color="2E75B6" w:sz="6" w:space="1"/>
        </w:pBdr>
        <w:spacing w:after="200"/>
      </w:pPr>
    </w:p>
    <w:p>
      <w:pPr>
        <w:pStyle w:val="Heading1"/>
        <w:spacing w:before="200" w:after="120"/>
      </w:pPr>
      <w:r>
        <w:rPr>
          <w:rFonts w:ascii="Arial" w:cs="Arial" w:eastAsia="Arial" w:hAnsi="Arial"/>
          <w:b/>
          <w:bCs/>
          <w:color w:val="1F3864"/>
          <w:sz w:val="28"/>
          <w:szCs w:val="28"/>
        </w:rPr>
        <w:t xml:space="preserve">Executive Summary</w:t>
      </w:r>
    </w:p>
    <w:p>
      <w:pPr>
        <w:spacing w:after="120"/>
      </w:pPr>
      <w:r>
        <w:rPr>
          <w:rFonts w:ascii="Arial" w:cs="Arial" w:eastAsia="Arial" w:hAnsi="Arial"/>
          <w:sz w:val="21"/>
          <w:szCs w:val="21"/>
        </w:rPr>
        <w:t xml:space="preserve">This report analyzes the P&amp;A Sales department performance for 57004TEST ABC-Moto for the rolling 12-month period from January 2025 to December 2025. The P&amp;A department's performance has a direct relationship with new and used ABC-Moto motorcycle unit sales, which totaled 385 combined units (232 new + 153 used ABC units). The growth in used ABC units (+32 units, +26.4%) has contributed positively to P&amp;A sales opportunities.</w:t>
      </w:r>
    </w:p>
    <w:p>
      <w:pPr>
        <w:spacing w:after="120"/>
      </w:pPr>
      <w:r>
        <w:rPr>
          <w:rFonts w:ascii="Arial" w:cs="Arial" w:eastAsia="Arial" w:hAnsi="Arial"/>
          <w:sz w:val="21"/>
          <w:szCs w:val="21"/>
        </w:rPr>
        <w:t xml:space="preserve">The P&amp;A department delivered solid results with Total P&amp;A Sales of $2,403,300.63, essentially flat year-over-year (++0.4%). The dealership exceeds the national average at 124.8% while operating at 92.5% of the A-Class average. P&amp;A Gross Margin at 30.95% is within the good benchmark range. ABC P&amp;A Inventory Turns at 3.94 exceed the benchmark maximum, demonstrating excellent inventory velocity. The primary concern is the ABC P&amp;A Non-Moving Inventory at 31.63%, which is above the benchmark maximum and requires attention.</w:t>
      </w:r>
    </w:p>
    <w:p>
      <w:pPr>
        <w:pBdr>
          <w:bottom w:val="single" w:color="2E75B6" w:sz="4" w:space="1"/>
        </w:pBdr>
        <w:spacing w:after="200"/>
      </w:pPr>
    </w:p>
    <w:p>
      <w:pPr>
        <w:pStyle w:val="Heading1"/>
        <w:spacing w:before="200" w:after="120"/>
      </w:pPr>
      <w:r>
        <w:rPr>
          <w:rFonts w:ascii="Arial" w:cs="Arial" w:eastAsia="Arial" w:hAnsi="Arial"/>
          <w:b/>
          <w:bCs/>
          <w:color w:val="1F3864"/>
          <w:sz w:val="28"/>
          <w:szCs w:val="28"/>
        </w:rPr>
        <w:t xml:space="preserve">Detailed Performance Analysis</w:t>
      </w:r>
    </w:p>
    <w:p>
      <w:pPr>
        <w:pStyle w:val="Heading2"/>
        <w:spacing w:before="150" w:after="70"/>
      </w:pPr>
      <w:r>
        <w:rPr>
          <w:rFonts w:ascii="Arial" w:cs="Arial" w:eastAsia="Arial" w:hAnsi="Arial"/>
          <w:b/>
          <w:bCs/>
          <w:color w:val="2E75B6"/>
          <w:sz w:val="22"/>
          <w:szCs w:val="22"/>
        </w:rPr>
        <w:t xml:space="preserve">1. Total P&amp;A Sales</w:t>
      </w:r>
    </w:p>
    <w:p>
      <w:pPr>
        <w:spacing w:before="15" w:after="15"/>
        <w:ind w:left="360"/>
      </w:pPr>
      <w:r>
        <w:rPr>
          <w:rFonts w:ascii="Arial" w:cs="Arial" w:eastAsia="Arial" w:hAnsi="Arial"/>
          <w:sz w:val="20"/>
          <w:szCs w:val="20"/>
        </w:rPr>
        <w:t xml:space="preserve">Current Year: $2,403,300.63</w:t>
      </w:r>
    </w:p>
    <w:p>
      <w:pPr>
        <w:spacing w:before="15" w:after="15"/>
        <w:ind w:left="360"/>
      </w:pPr>
      <w:r>
        <w:rPr>
          <w:rFonts w:ascii="Arial" w:cs="Arial" w:eastAsia="Arial" w:hAnsi="Arial"/>
          <w:sz w:val="20"/>
          <w:szCs w:val="20"/>
        </w:rPr>
        <w:t xml:space="preserve">Year-over-Year Change: +0.4% ($8,552.78)</w:t>
      </w:r>
    </w:p>
    <w:p>
      <w:pPr>
        <w:spacing w:before="15" w:after="15"/>
        <w:ind w:left="360"/>
      </w:pPr>
      <w:r>
        <w:rPr>
          <w:rFonts w:ascii="Arial" w:cs="Arial" w:eastAsia="Arial" w:hAnsi="Arial"/>
          <w:sz w:val="20"/>
          <w:szCs w:val="20"/>
        </w:rPr>
        <w:t xml:space="preserve">A-Class Average: 92.5% of benchmark ($2,599,468.03)</w:t>
      </w:r>
    </w:p>
    <w:p>
      <w:pPr>
        <w:spacing w:before="15" w:after="15"/>
        <w:ind w:left="360"/>
      </w:pPr>
      <w:r>
        <w:rPr>
          <w:rFonts w:ascii="Arial" w:cs="Arial" w:eastAsia="Arial" w:hAnsi="Arial"/>
          <w:sz w:val="20"/>
          <w:szCs w:val="20"/>
        </w:rPr>
        <w:t xml:space="preserve">National Average: 124.8% of benchmark ($1,925,309.58)</w:t>
      </w:r>
    </w:p>
    <w:p>
      <w:pPr>
        <w:spacing w:before="50" w:after="90"/>
      </w:pPr>
      <w:r>
        <w:rPr>
          <w:rFonts w:ascii="Arial" w:cs="Arial" w:eastAsia="Arial" w:hAnsi="Arial"/>
          <w:sz w:val="20"/>
          <w:szCs w:val="20"/>
        </w:rPr>
        <w:t xml:space="preserve">Total P&amp;A Sales of $2,403,300.63 were essentially flat year-over-year (+0.4%, $8,552.78). At 92.5% of the A-Class average ($2,599,468.03) and 124.8% of the national average ($1,925,309.58), the dealership exceeds the national average while trailing the A-Class peer group. The A-Class average also showed minimal growth ($22,184.99), indicating stable P&amp;A market conditions. The direct relationship between motorcycle unit sales and P&amp;A activity is evident: while new ABC units declined slightly (-2.5%), the strong growth in used ABC units (+26.4%) helped maintain overall P&amp;A sales stability.</w:t>
      </w:r>
    </w:p>
    <w:p>
      <w:pPr>
        <w:pStyle w:val="Heading2"/>
        <w:spacing w:before="150" w:after="70"/>
      </w:pPr>
      <w:r>
        <w:rPr>
          <w:rFonts w:ascii="Arial" w:cs="Arial" w:eastAsia="Arial" w:hAnsi="Arial"/>
          <w:b/>
          <w:bCs/>
          <w:color w:val="2E75B6"/>
          <w:sz w:val="22"/>
          <w:szCs w:val="22"/>
        </w:rPr>
        <w:t xml:space="preserve">2. P&amp;A Gross Margin %</w:t>
      </w:r>
    </w:p>
    <w:p>
      <w:pPr>
        <w:spacing w:before="15" w:after="15"/>
        <w:ind w:left="360"/>
      </w:pPr>
      <w:r>
        <w:rPr>
          <w:rFonts w:ascii="Arial" w:cs="Arial" w:eastAsia="Arial" w:hAnsi="Arial"/>
          <w:sz w:val="20"/>
          <w:szCs w:val="20"/>
        </w:rPr>
        <w:t xml:space="preserve">Current Year: 30.95%</w:t>
      </w:r>
    </w:p>
    <w:p>
      <w:pPr>
        <w:spacing w:before="15" w:after="15"/>
        <w:ind w:left="360"/>
      </w:pPr>
      <w:r>
        <w:rPr>
          <w:rFonts w:ascii="Arial" w:cs="Arial" w:eastAsia="Arial" w:hAnsi="Arial"/>
          <w:sz w:val="20"/>
          <w:szCs w:val="20"/>
        </w:rPr>
        <w:t xml:space="preserve">Year-over-Year Change: +5.9% (1.73 pp)</w:t>
      </w:r>
    </w:p>
    <w:p>
      <w:pPr>
        <w:spacing w:before="15" w:after="15"/>
        <w:ind w:left="360"/>
      </w:pPr>
      <w:r>
        <w:rPr>
          <w:rFonts w:ascii="Arial" w:cs="Arial" w:eastAsia="Arial" w:hAnsi="Arial"/>
          <w:sz w:val="20"/>
          <w:szCs w:val="20"/>
        </w:rPr>
        <w:t xml:space="preserve">A-Class Average: 103.5% of benchmark (29.90%)</w:t>
      </w:r>
    </w:p>
    <w:p>
      <w:pPr>
        <w:spacing w:before="15" w:after="15"/>
        <w:ind w:left="360"/>
      </w:pPr>
      <w:r>
        <w:rPr>
          <w:rFonts w:ascii="Arial" w:cs="Arial" w:eastAsia="Arial" w:hAnsi="Arial"/>
          <w:sz w:val="20"/>
          <w:szCs w:val="20"/>
        </w:rPr>
        <w:t xml:space="preserve">National Average: 98.9% of benchmark (31.30%)</w:t>
      </w:r>
    </w:p>
    <w:p>
      <w:pPr>
        <w:spacing w:before="30" w:after="30"/>
        <w:ind w:left="360"/>
      </w:pPr>
      <w:r>
        <w:rPr>
          <w:rFonts w:ascii="Arial" w:cs="Arial" w:eastAsia="Arial" w:hAnsi="Arial"/>
          <w:b/>
          <w:bCs/>
          <w:sz w:val="20"/>
          <w:szCs w:val="20"/>
        </w:rPr>
        <w:t xml:space="preserve">Assessment: </w:t>
      </w:r>
      <w:r>
        <w:rPr>
          <w:rFonts w:ascii="Arial" w:cs="Arial" w:eastAsia="Arial" w:hAnsi="Arial"/>
          <w:b/>
          <w:bCs/>
          <w:color w:val="2E75B6"/>
          <w:sz w:val="20"/>
          <w:szCs w:val="20"/>
        </w:rPr>
        <w:t xml:space="preserve">Good (within benchmark range)</w:t>
      </w:r>
    </w:p>
    <w:p>
      <w:pPr>
        <w:spacing w:before="50" w:after="90"/>
      </w:pPr>
      <w:r>
        <w:rPr>
          <w:rFonts w:ascii="Arial" w:cs="Arial" w:eastAsia="Arial" w:hAnsi="Arial"/>
          <w:sz w:val="20"/>
          <w:szCs w:val="20"/>
        </w:rPr>
        <w:t xml:space="preserve">P&amp;A Gross Margin of 30.95% improved by 1.73 percentage points (+5.9%) year-over-year. Within the benchmark range of 30.0% to 40.0%, this is assessed as Good. At 103.5% of the A-Class average (29.90%) and 98.9% of the national average (31.30%), the dealership's margin slightly exceeds both benchmarks. The year-over-year improvement is a positive trend, demonstrating effective margin management despite stable sales volumes.</w:t>
      </w:r>
    </w:p>
    <w:p>
      <w:pPr>
        <w:pStyle w:val="Heading2"/>
        <w:spacing w:before="150" w:after="70"/>
      </w:pPr>
      <w:r>
        <w:rPr>
          <w:rFonts w:ascii="Arial" w:cs="Arial" w:eastAsia="Arial" w:hAnsi="Arial"/>
          <w:b/>
          <w:bCs/>
          <w:color w:val="2E75B6"/>
          <w:sz w:val="22"/>
          <w:szCs w:val="22"/>
        </w:rPr>
        <w:t xml:space="preserve">3. Total Sales - ABC Parts &amp; Accessories</w:t>
      </w:r>
    </w:p>
    <w:p>
      <w:pPr>
        <w:spacing w:before="15" w:after="15"/>
        <w:ind w:left="360"/>
      </w:pPr>
      <w:r>
        <w:rPr>
          <w:rFonts w:ascii="Arial" w:cs="Arial" w:eastAsia="Arial" w:hAnsi="Arial"/>
          <w:sz w:val="20"/>
          <w:szCs w:val="20"/>
        </w:rPr>
        <w:t xml:space="preserve">Current Year: $2,191,847.50</w:t>
      </w:r>
    </w:p>
    <w:p>
      <w:pPr>
        <w:spacing w:before="15" w:after="15"/>
        <w:ind w:left="360"/>
      </w:pPr>
      <w:r>
        <w:rPr>
          <w:rFonts w:ascii="Arial" w:cs="Arial" w:eastAsia="Arial" w:hAnsi="Arial"/>
          <w:sz w:val="20"/>
          <w:szCs w:val="20"/>
        </w:rPr>
        <w:t xml:space="preserve">Year-over-Year Change: +6.5% ($132,877.93)</w:t>
      </w:r>
    </w:p>
    <w:p>
      <w:pPr>
        <w:spacing w:before="15" w:after="15"/>
        <w:ind w:left="360"/>
      </w:pPr>
      <w:r>
        <w:rPr>
          <w:rFonts w:ascii="Arial" w:cs="Arial" w:eastAsia="Arial" w:hAnsi="Arial"/>
          <w:sz w:val="20"/>
          <w:szCs w:val="20"/>
        </w:rPr>
        <w:t xml:space="preserve">A-Class Average: 109.4% of benchmark ($2,003,036.41)</w:t>
      </w:r>
    </w:p>
    <w:p>
      <w:pPr>
        <w:spacing w:before="15" w:after="15"/>
        <w:ind w:left="360"/>
      </w:pPr>
      <w:r>
        <w:rPr>
          <w:rFonts w:ascii="Arial" w:cs="Arial" w:eastAsia="Arial" w:hAnsi="Arial"/>
          <w:sz w:val="20"/>
          <w:szCs w:val="20"/>
        </w:rPr>
        <w:t xml:space="preserve">National Average: 166.3% of benchmark ($1,317,764.16)</w:t>
      </w:r>
    </w:p>
    <w:p>
      <w:pPr>
        <w:spacing w:before="50" w:after="90"/>
      </w:pPr>
      <w:r>
        <w:rPr>
          <w:rFonts w:ascii="Arial" w:cs="Arial" w:eastAsia="Arial" w:hAnsi="Arial"/>
          <w:sz w:val="20"/>
          <w:szCs w:val="20"/>
        </w:rPr>
        <w:t xml:space="preserve">ABC P&amp;A Sales of $2,191,847.50 increased by +6.5% ($132,877.93) year-over-year. At 109.4% of the A-Class average and 166.3% of the national average, the dealership significantly outperforms both benchmarks in ABC-specific P&amp;A sales. The growth in ABC P&amp;A sales, combined with the slight decline in new ABC units, indicates the dealership is effectively cross-selling accessories and parts to both new and existing customers.</w:t>
      </w:r>
    </w:p>
    <w:p>
      <w:pPr>
        <w:pStyle w:val="Heading2"/>
        <w:spacing w:before="150" w:after="70"/>
      </w:pPr>
      <w:r>
        <w:rPr>
          <w:rFonts w:ascii="Arial" w:cs="Arial" w:eastAsia="Arial" w:hAnsi="Arial"/>
          <w:b/>
          <w:bCs/>
          <w:color w:val="2E75B6"/>
          <w:sz w:val="22"/>
          <w:szCs w:val="22"/>
        </w:rPr>
        <w:t xml:space="preserve">4. ABC Parts &amp; Accessories Gross Margin %</w:t>
      </w:r>
    </w:p>
    <w:p>
      <w:pPr>
        <w:spacing w:before="15" w:after="15"/>
        <w:ind w:left="360"/>
      </w:pPr>
      <w:r>
        <w:rPr>
          <w:rFonts w:ascii="Arial" w:cs="Arial" w:eastAsia="Arial" w:hAnsi="Arial"/>
          <w:sz w:val="20"/>
          <w:szCs w:val="20"/>
        </w:rPr>
        <w:t xml:space="preserve">Current Year: 31.32%</w:t>
      </w:r>
    </w:p>
    <w:p>
      <w:pPr>
        <w:spacing w:before="15" w:after="15"/>
        <w:ind w:left="360"/>
      </w:pPr>
      <w:r>
        <w:rPr>
          <w:rFonts w:ascii="Arial" w:cs="Arial" w:eastAsia="Arial" w:hAnsi="Arial"/>
          <w:sz w:val="20"/>
          <w:szCs w:val="20"/>
        </w:rPr>
        <w:t xml:space="preserve">Year-over-Year Change: +3.0% (0.91 pp)</w:t>
      </w:r>
    </w:p>
    <w:p>
      <w:pPr>
        <w:spacing w:before="15" w:after="15"/>
        <w:ind w:left="360"/>
      </w:pPr>
      <w:r>
        <w:rPr>
          <w:rFonts w:ascii="Arial" w:cs="Arial" w:eastAsia="Arial" w:hAnsi="Arial"/>
          <w:sz w:val="20"/>
          <w:szCs w:val="20"/>
        </w:rPr>
        <w:t xml:space="preserve">A-Class Average: 94.3% of benchmark (33.20%)</w:t>
      </w:r>
    </w:p>
    <w:p>
      <w:pPr>
        <w:spacing w:before="15" w:after="15"/>
        <w:ind w:left="360"/>
      </w:pPr>
      <w:r>
        <w:rPr>
          <w:rFonts w:ascii="Arial" w:cs="Arial" w:eastAsia="Arial" w:hAnsi="Arial"/>
          <w:sz w:val="20"/>
          <w:szCs w:val="20"/>
        </w:rPr>
        <w:t xml:space="preserve">National Average: 94.5% of benchmark (33.12%)</w:t>
      </w:r>
    </w:p>
    <w:p>
      <w:pPr>
        <w:spacing w:before="30" w:after="30"/>
        <w:ind w:left="360"/>
      </w:pPr>
      <w:r>
        <w:rPr>
          <w:rFonts w:ascii="Arial" w:cs="Arial" w:eastAsia="Arial" w:hAnsi="Arial"/>
          <w:b/>
          <w:bCs/>
          <w:sz w:val="20"/>
          <w:szCs w:val="20"/>
        </w:rPr>
        <w:t xml:space="preserve">Assessment: </w:t>
      </w:r>
      <w:r>
        <w:rPr>
          <w:rFonts w:ascii="Arial" w:cs="Arial" w:eastAsia="Arial" w:hAnsi="Arial"/>
          <w:b/>
          <w:bCs/>
          <w:color w:val="2E75B6"/>
          <w:sz w:val="20"/>
          <w:szCs w:val="20"/>
        </w:rPr>
        <w:t xml:space="preserve">Good (within benchmark range)</w:t>
      </w:r>
    </w:p>
    <w:p>
      <w:pPr>
        <w:spacing w:before="50" w:after="90"/>
      </w:pPr>
      <w:r>
        <w:rPr>
          <w:rFonts w:ascii="Arial" w:cs="Arial" w:eastAsia="Arial" w:hAnsi="Arial"/>
          <w:sz w:val="20"/>
          <w:szCs w:val="20"/>
        </w:rPr>
        <w:t xml:space="preserve">ABC P&amp;A Gross Margin of 31.32% improved by 0.91 percentage points (+3.0%) year-over-year. Within the benchmark range of 31.0% to 42.0%, this is assessed as Good. At 94.3% of the A-Class average (33.20%) and 94.5% of the national average (33.12%), the margin is slightly below peer levels but shows a positive trajectory. The year-over-year improvement indicates effective margin management on ABC products.</w:t>
      </w:r>
    </w:p>
    <w:p>
      <w:pPr>
        <w:pStyle w:val="Heading2"/>
        <w:spacing w:before="150" w:after="70"/>
      </w:pPr>
      <w:r>
        <w:rPr>
          <w:rFonts w:ascii="Arial" w:cs="Arial" w:eastAsia="Arial" w:hAnsi="Arial"/>
          <w:b/>
          <w:bCs/>
          <w:color w:val="2E75B6"/>
          <w:sz w:val="22"/>
          <w:szCs w:val="22"/>
        </w:rPr>
        <w:t xml:space="preserve">5. P&amp;A Net Sales Per Total Units Retailed (PTUR)</w:t>
      </w:r>
    </w:p>
    <w:p>
      <w:pPr>
        <w:spacing w:before="15" w:after="15"/>
        <w:ind w:left="360"/>
      </w:pPr>
      <w:r>
        <w:rPr>
          <w:rFonts w:ascii="Arial" w:cs="Arial" w:eastAsia="Arial" w:hAnsi="Arial"/>
          <w:sz w:val="20"/>
          <w:szCs w:val="20"/>
        </w:rPr>
        <w:t xml:space="preserve">Current Year: $5,993.27</w:t>
      </w:r>
    </w:p>
    <w:p>
      <w:pPr>
        <w:spacing w:before="15" w:after="15"/>
        <w:ind w:left="360"/>
      </w:pPr>
      <w:r>
        <w:rPr>
          <w:rFonts w:ascii="Arial" w:cs="Arial" w:eastAsia="Arial" w:hAnsi="Arial"/>
          <w:sz w:val="20"/>
          <w:szCs w:val="20"/>
        </w:rPr>
        <w:t xml:space="preserve">Year-over-Year Change: -6.4% (-$409.80)</w:t>
      </w:r>
    </w:p>
    <w:p>
      <w:pPr>
        <w:spacing w:before="15" w:after="15"/>
        <w:ind w:left="360"/>
      </w:pPr>
      <w:r>
        <w:rPr>
          <w:rFonts w:ascii="Arial" w:cs="Arial" w:eastAsia="Arial" w:hAnsi="Arial"/>
          <w:sz w:val="20"/>
          <w:szCs w:val="20"/>
        </w:rPr>
        <w:t xml:space="preserve">A-Class Average: 100.2% of benchmark ($5,980.94)</w:t>
      </w:r>
    </w:p>
    <w:p>
      <w:pPr>
        <w:spacing w:before="15" w:after="15"/>
        <w:ind w:left="360"/>
      </w:pPr>
      <w:r>
        <w:rPr>
          <w:rFonts w:ascii="Arial" w:cs="Arial" w:eastAsia="Arial" w:hAnsi="Arial"/>
          <w:sz w:val="20"/>
          <w:szCs w:val="20"/>
        </w:rPr>
        <w:t xml:space="preserve">National Average: 88.1% of benchmark ($6,800.87)</w:t>
      </w:r>
    </w:p>
    <w:p>
      <w:pPr>
        <w:spacing w:before="50" w:after="90"/>
      </w:pPr>
      <w:r>
        <w:rPr>
          <w:rFonts w:ascii="Arial" w:cs="Arial" w:eastAsia="Arial" w:hAnsi="Arial"/>
          <w:sz w:val="20"/>
          <w:szCs w:val="20"/>
        </w:rPr>
        <w:t xml:space="preserve">P&amp;A Net Sales PTUR of $5,993.27 declined by -6.4% (-$409.80) year-over-year. At 100.2% of the A-Class average ($5,980.94) and 88.1% of the national average ($6,800.87), the dealership is in line with the A-Class average but below the national average. The decline in PTUR is partly attributable to the increased total unit base (particularly the growth in used units), which dilutes the per-unit metric. The A-Class average improved by $139.25, indicating the dealership is underperforming the peer trend on this metric.</w:t>
      </w:r>
    </w:p>
    <w:p>
      <w:pPr>
        <w:pStyle w:val="Heading2"/>
        <w:spacing w:before="150" w:after="70"/>
      </w:pPr>
      <w:r>
        <w:rPr>
          <w:rFonts w:ascii="Arial" w:cs="Arial" w:eastAsia="Arial" w:hAnsi="Arial"/>
          <w:b/>
          <w:bCs/>
          <w:color w:val="2E75B6"/>
          <w:sz w:val="22"/>
          <w:szCs w:val="22"/>
        </w:rPr>
        <w:t xml:space="preserve">6. ABC P&amp;A Net Sales per New ABC MC Retailed (PNHMR)</w:t>
      </w:r>
    </w:p>
    <w:p>
      <w:pPr>
        <w:spacing w:before="15" w:after="15"/>
        <w:ind w:left="360"/>
      </w:pPr>
      <w:r>
        <w:rPr>
          <w:rFonts w:ascii="Arial" w:cs="Arial" w:eastAsia="Arial" w:hAnsi="Arial"/>
          <w:sz w:val="20"/>
          <w:szCs w:val="20"/>
        </w:rPr>
        <w:t xml:space="preserve">Current Year: $9,447.62</w:t>
      </w:r>
    </w:p>
    <w:p>
      <w:pPr>
        <w:spacing w:before="15" w:after="15"/>
        <w:ind w:left="360"/>
      </w:pPr>
      <w:r>
        <w:rPr>
          <w:rFonts w:ascii="Arial" w:cs="Arial" w:eastAsia="Arial" w:hAnsi="Arial"/>
          <w:sz w:val="20"/>
          <w:szCs w:val="20"/>
        </w:rPr>
        <w:t xml:space="preserve">Year-over-Year Change: +9.2% ($796.49)</w:t>
      </w:r>
    </w:p>
    <w:p>
      <w:pPr>
        <w:spacing w:before="15" w:after="15"/>
        <w:ind w:left="360"/>
      </w:pPr>
      <w:r>
        <w:rPr>
          <w:rFonts w:ascii="Arial" w:cs="Arial" w:eastAsia="Arial" w:hAnsi="Arial"/>
          <w:sz w:val="20"/>
          <w:szCs w:val="20"/>
        </w:rPr>
        <w:t xml:space="preserve">A-Class Average: 101.9% of benchmark ($9,273.32)</w:t>
      </w:r>
    </w:p>
    <w:p>
      <w:pPr>
        <w:spacing w:before="15" w:after="15"/>
        <w:ind w:left="360"/>
      </w:pPr>
      <w:r>
        <w:rPr>
          <w:rFonts w:ascii="Arial" w:cs="Arial" w:eastAsia="Arial" w:hAnsi="Arial"/>
          <w:sz w:val="20"/>
          <w:szCs w:val="20"/>
        </w:rPr>
        <w:t xml:space="preserve">National Average: 97.1% of benchmark ($9,728.00)</w:t>
      </w:r>
    </w:p>
    <w:p>
      <w:pPr>
        <w:spacing w:before="50" w:after="90"/>
      </w:pPr>
      <w:r>
        <w:rPr>
          <w:rFonts w:ascii="Arial" w:cs="Arial" w:eastAsia="Arial" w:hAnsi="Arial"/>
          <w:sz w:val="20"/>
          <w:szCs w:val="20"/>
        </w:rPr>
        <w:t xml:space="preserve">ABC P&amp;A PNHMR of $9,447.62 increased by +9.2% ($796.49) year-over-year. At 101.9% of the A-Class average ($9,273.32) and 97.1% of the national average ($9,728.00), the dealership is in line with peer benchmarks. The improvement reflects growing ABC P&amp;A sales relative to a slightly declining new ABC unit base, indicating effective attachment of P&amp;A products at the point of new motorcycle sale.</w:t>
      </w:r>
    </w:p>
    <w:p>
      <w:pPr>
        <w:pStyle w:val="Heading2"/>
        <w:spacing w:before="150" w:after="70"/>
      </w:pPr>
      <w:r>
        <w:rPr>
          <w:rFonts w:ascii="Arial" w:cs="Arial" w:eastAsia="Arial" w:hAnsi="Arial"/>
          <w:b/>
          <w:bCs/>
          <w:color w:val="2E75B6"/>
          <w:sz w:val="22"/>
          <w:szCs w:val="22"/>
        </w:rPr>
        <w:t xml:space="preserve">7. ABC P&amp;A Inventory Turns</w:t>
      </w:r>
    </w:p>
    <w:p>
      <w:pPr>
        <w:spacing w:before="15" w:after="15"/>
        <w:ind w:left="360"/>
      </w:pPr>
      <w:r>
        <w:rPr>
          <w:rFonts w:ascii="Arial" w:cs="Arial" w:eastAsia="Arial" w:hAnsi="Arial"/>
          <w:sz w:val="20"/>
          <w:szCs w:val="20"/>
        </w:rPr>
        <w:t xml:space="preserve">Current Year: 3.94</w:t>
      </w:r>
    </w:p>
    <w:p>
      <w:pPr>
        <w:spacing w:before="15" w:after="15"/>
        <w:ind w:left="360"/>
      </w:pPr>
      <w:r>
        <w:rPr>
          <w:rFonts w:ascii="Arial" w:cs="Arial" w:eastAsia="Arial" w:hAnsi="Arial"/>
          <w:sz w:val="20"/>
          <w:szCs w:val="20"/>
        </w:rPr>
        <w:t xml:space="preserve">Year-over-Year Change: +1.8% (0.07)</w:t>
      </w:r>
    </w:p>
    <w:p>
      <w:pPr>
        <w:spacing w:before="15" w:after="15"/>
        <w:ind w:left="360"/>
      </w:pPr>
      <w:r>
        <w:rPr>
          <w:rFonts w:ascii="Arial" w:cs="Arial" w:eastAsia="Arial" w:hAnsi="Arial"/>
          <w:sz w:val="20"/>
          <w:szCs w:val="20"/>
        </w:rPr>
        <w:t xml:space="preserve">A-Class Average: 136.7% of benchmark (2.88)</w:t>
      </w:r>
    </w:p>
    <w:p>
      <w:pPr>
        <w:spacing w:before="15" w:after="15"/>
        <w:ind w:left="360"/>
      </w:pPr>
      <w:r>
        <w:rPr>
          <w:rFonts w:ascii="Arial" w:cs="Arial" w:eastAsia="Arial" w:hAnsi="Arial"/>
          <w:sz w:val="20"/>
          <w:szCs w:val="20"/>
        </w:rPr>
        <w:t xml:space="preserve">National Average: 141.1% of benchmark (2.79)</w:t>
      </w:r>
    </w:p>
    <w:p>
      <w:pPr>
        <w:spacing w:before="30" w:after="30"/>
        <w:ind w:left="360"/>
      </w:pPr>
      <w:r>
        <w:rPr>
          <w:rFonts w:ascii="Arial" w:cs="Arial" w:eastAsia="Arial" w:hAnsi="Arial"/>
          <w:b/>
          <w:bCs/>
          <w:sz w:val="20"/>
          <w:szCs w:val="20"/>
        </w:rPr>
        <w:t xml:space="preserve">Assessment: </w:t>
      </w:r>
      <w:r>
        <w:rPr>
          <w:rFonts w:ascii="Arial" w:cs="Arial" w:eastAsia="Arial" w:hAnsi="Arial"/>
          <w:b/>
          <w:bCs/>
          <w:color w:val="006400"/>
          <w:sz w:val="20"/>
          <w:szCs w:val="20"/>
        </w:rPr>
        <w:t xml:space="preserve">Excellent (above benchmark maximum)</w:t>
      </w:r>
    </w:p>
    <w:p>
      <w:pPr>
        <w:spacing w:before="50" w:after="90"/>
      </w:pPr>
      <w:r>
        <w:rPr>
          <w:rFonts w:ascii="Arial" w:cs="Arial" w:eastAsia="Arial" w:hAnsi="Arial"/>
          <w:sz w:val="20"/>
          <w:szCs w:val="20"/>
        </w:rPr>
        <w:t xml:space="preserve">ABC P&amp;A Inventory Turns of 3.94 improved by 0.07 (+1.8%) year-over-year. At 136.7% of the A-Class average (2.88) and 141.1% of the national average (2.79), the dealership significantly outperforms both benchmarks. With turns of 3.94, the dealership exceeds the benchmark maximum of 3.5, which is assessed as Excellent. The strong inventory velocity indicates efficient inventory management and effective purchasing practices. While the turns performance is excellent, maintaining adequate stock breadth to support customer demand remains important.</w:t>
      </w:r>
    </w:p>
    <w:p>
      <w:pPr>
        <w:pStyle w:val="Heading2"/>
        <w:spacing w:before="150" w:after="70"/>
      </w:pPr>
      <w:r>
        <w:rPr>
          <w:rFonts w:ascii="Arial" w:cs="Arial" w:eastAsia="Arial" w:hAnsi="Arial"/>
          <w:b/>
          <w:bCs/>
          <w:color w:val="2E75B6"/>
          <w:sz w:val="22"/>
          <w:szCs w:val="22"/>
        </w:rPr>
        <w:t xml:space="preserve">8. ABC P&amp;A Non-Moving Inventory %</w:t>
      </w:r>
    </w:p>
    <w:p>
      <w:pPr>
        <w:spacing w:before="15" w:after="15"/>
        <w:ind w:left="360"/>
      </w:pPr>
      <w:r>
        <w:rPr>
          <w:rFonts w:ascii="Arial" w:cs="Arial" w:eastAsia="Arial" w:hAnsi="Arial"/>
          <w:sz w:val="20"/>
          <w:szCs w:val="20"/>
        </w:rPr>
        <w:t xml:space="preserve">Current Year: 31.63%</w:t>
      </w:r>
    </w:p>
    <w:p>
      <w:pPr>
        <w:spacing w:before="15" w:after="15"/>
        <w:ind w:left="360"/>
      </w:pPr>
      <w:r>
        <w:rPr>
          <w:rFonts w:ascii="Arial" w:cs="Arial" w:eastAsia="Arial" w:hAnsi="Arial"/>
          <w:sz w:val="20"/>
          <w:szCs w:val="20"/>
        </w:rPr>
        <w:t xml:space="preserve">Year-over-Year Change: +0.0% (0.00 pp)</w:t>
      </w:r>
    </w:p>
    <w:p>
      <w:pPr>
        <w:spacing w:before="15" w:after="15"/>
        <w:ind w:left="360"/>
      </w:pPr>
      <w:r>
        <w:rPr>
          <w:rFonts w:ascii="Arial" w:cs="Arial" w:eastAsia="Arial" w:hAnsi="Arial"/>
          <w:sz w:val="20"/>
          <w:szCs w:val="20"/>
        </w:rPr>
        <w:t xml:space="preserve">A-Class Average: 98.7% of benchmark (32.04%)</w:t>
      </w:r>
    </w:p>
    <w:p>
      <w:pPr>
        <w:spacing w:before="15" w:after="15"/>
        <w:ind w:left="360"/>
      </w:pPr>
      <w:r>
        <w:rPr>
          <w:rFonts w:ascii="Arial" w:cs="Arial" w:eastAsia="Arial" w:hAnsi="Arial"/>
          <w:sz w:val="20"/>
          <w:szCs w:val="20"/>
        </w:rPr>
        <w:t xml:space="preserve">National Average: 91.3% of benchmark (34.66%)</w:t>
      </w:r>
    </w:p>
    <w:p>
      <w:pPr>
        <w:spacing w:before="30" w:after="30"/>
        <w:ind w:left="360"/>
      </w:pPr>
      <w:r>
        <w:rPr>
          <w:rFonts w:ascii="Arial" w:cs="Arial" w:eastAsia="Arial" w:hAnsi="Arial"/>
          <w:b/>
          <w:bCs/>
          <w:sz w:val="20"/>
          <w:szCs w:val="20"/>
        </w:rPr>
        <w:t xml:space="preserve">Assessment: </w:t>
      </w:r>
      <w:r>
        <w:rPr>
          <w:rFonts w:ascii="Arial" w:cs="Arial" w:eastAsia="Arial" w:hAnsi="Arial"/>
          <w:b/>
          <w:bCs/>
          <w:color w:val="CC0000"/>
          <w:sz w:val="20"/>
          <w:szCs w:val="20"/>
        </w:rPr>
        <w:t xml:space="preserve">Substandard (above benchmark maximum)</w:t>
      </w:r>
    </w:p>
    <w:p>
      <w:pPr>
        <w:spacing w:before="50" w:after="90"/>
      </w:pPr>
      <w:r>
        <w:rPr>
          <w:rFonts w:ascii="Arial" w:cs="Arial" w:eastAsia="Arial" w:hAnsi="Arial"/>
          <w:sz w:val="20"/>
          <w:szCs w:val="20"/>
        </w:rPr>
        <w:t xml:space="preserve">ABC P&amp;A Non-Moving Inventory at 31.63% remained unchanged year-over-year. At 98.7% of the A-Class average (32.04%) and 91.3% of the national average (34.66%), the dealership's non-moving inventory is slightly below both peer levels in proportion, which is positive. However, the absolute level of 31.63% exceeds the benchmark maximum of 20.0%, and is assessed as Substandard. This indicates a portion of inventory that is not turning and may require markdown strategies or return-to-vendor programs to reduce the non-moving stock. Dealers should review the ABC-Moto PAM Turns Tool and refer to the Manage by Numbers lessons on Optimizing P&amp;A and A&amp;L Inventory Performance for guidance on reducing non-moving inventory.</w:t>
      </w:r>
    </w:p>
    <w:p>
      <w:pPr>
        <w:pStyle w:val="Heading2"/>
        <w:spacing w:before="180" w:after="80"/>
      </w:pPr>
      <w:r>
        <w:rPr>
          <w:rFonts w:ascii="Arial" w:cs="Arial" w:eastAsia="Arial" w:hAnsi="Arial"/>
          <w:b/>
          <w:bCs/>
          <w:color w:val="2E75B6"/>
          <w:sz w:val="24"/>
          <w:szCs w:val="24"/>
        </w:rPr>
        <w:t xml:space="preserve">Impact of New and Used ABC Unit Sales on P&amp;A Performance</w:t>
      </w:r>
    </w:p>
    <w:p>
      <w:pPr>
        <w:spacing w:after="100"/>
      </w:pPr>
      <w:r>
        <w:rPr>
          <w:rFonts w:ascii="Arial" w:cs="Arial" w:eastAsia="Arial" w:hAnsi="Arial"/>
          <w:sz w:val="20"/>
          <w:szCs w:val="20"/>
        </w:rPr>
        <w:t xml:space="preserve">The P&amp;A department's performance is directly influenced by the volume of ABC motorcycle sales. During the period, the dealership retailed 232 new ABC units (-2.5% YoY) and 153 used ABC units (+26.4% YoY). The modest decline in new units was offset by the substantial growth in used unit sales, maintaining the overall customer base for P&amp;A purchases. The growth in ABC P&amp;A sales (++6.5%) despite only slight new unit decline demonstrates effective P&amp;A attachment and aftermarket customer engagement. The expanding used vehicle customer base provides ongoing P&amp;A revenue opportunities as these customers invest in customization and maintenance.</w:t>
      </w:r>
    </w:p>
    <w:p>
      <w:r>
        <w:br w:type="page"/>
      </w:r>
    </w:p>
    <w:p>
      <w:pPr>
        <w:pStyle w:val="Heading1"/>
        <w:spacing w:before="200" w:after="120"/>
      </w:pPr>
      <w:r>
        <w:rPr>
          <w:rFonts w:ascii="Arial" w:cs="Arial" w:eastAsia="Arial" w:hAnsi="Arial"/>
          <w:b/>
          <w:bCs/>
          <w:color w:val="1F3864"/>
          <w:sz w:val="28"/>
          <w:szCs w:val="28"/>
        </w:rPr>
        <w:t xml:space="preserve">Performance Score Assessment</w:t>
      </w:r>
    </w:p>
    <w:p>
      <w:pPr>
        <w:pStyle w:val="Heading2"/>
        <w:spacing w:before="130" w:after="60"/>
      </w:pPr>
      <w:r>
        <w:rPr>
          <w:rFonts w:ascii="Arial" w:cs="Arial" w:eastAsia="Arial" w:hAnsi="Arial"/>
          <w:b/>
          <w:bCs/>
          <w:color w:val="2E75B6"/>
          <w:sz w:val="22"/>
          <w:szCs w:val="22"/>
        </w:rPr>
        <w:t xml:space="preserve">1. Departmental Sales Performance (30% weight)</w:t>
      </w:r>
    </w:p>
    <w:p>
      <w:pPr>
        <w:spacing w:before="30" w:after="30"/>
      </w:pPr>
      <w:r>
        <w:rPr>
          <w:rFonts w:ascii="Arial" w:cs="Arial" w:eastAsia="Arial" w:hAnsi="Arial"/>
          <w:b/>
          <w:bCs/>
          <w:sz w:val="21"/>
          <w:szCs w:val="21"/>
        </w:rPr>
        <w:t xml:space="preserve">Score: </w:t>
      </w:r>
      <w:r>
        <w:rPr>
          <w:rFonts w:ascii="Arial" w:cs="Arial" w:eastAsia="Arial" w:hAnsi="Arial"/>
          <w:b/>
          <w:bCs/>
          <w:color w:val="2E75B6"/>
          <w:sz w:val="21"/>
          <w:szCs w:val="21"/>
        </w:rPr>
        <w:t xml:space="preserve">62/100</w:t>
      </w:r>
    </w:p>
    <w:p>
      <w:pPr>
        <w:spacing w:before="20" w:after="15"/>
      </w:pPr>
      <w:r>
        <w:rPr>
          <w:rFonts w:ascii="Arial" w:cs="Arial" w:eastAsia="Arial" w:hAnsi="Arial"/>
          <w:b/>
          <w:bCs/>
          <w:i/>
          <w:iCs/>
          <w:sz w:val="19"/>
          <w:szCs w:val="19"/>
        </w:rPr>
        <w:t xml:space="preserve">Primary Factors:</w:t>
      </w:r>
    </w:p>
    <w:p>
      <w:pPr>
        <w:spacing w:before="10" w:after="10"/>
        <w:ind w:left="360"/>
      </w:pPr>
      <w:r>
        <w:rPr>
          <w:rFonts w:ascii="Arial" w:cs="Arial" w:eastAsia="Arial" w:hAnsi="Arial"/>
          <w:sz w:val="19"/>
          <w:szCs w:val="19"/>
        </w:rPr>
        <w:t xml:space="preserve">- Total P&amp;A Sales essentially flat YoY (+0.4%)</w:t>
      </w:r>
    </w:p>
    <w:p>
      <w:pPr>
        <w:spacing w:before="10" w:after="10"/>
        <w:ind w:left="360"/>
      </w:pPr>
      <w:r>
        <w:rPr>
          <w:rFonts w:ascii="Arial" w:cs="Arial" w:eastAsia="Arial" w:hAnsi="Arial"/>
          <w:sz w:val="19"/>
          <w:szCs w:val="19"/>
        </w:rPr>
        <w:t xml:space="preserve">- ABC P&amp;A Sales grew 6.5% YoY - solid improvement</w:t>
      </w:r>
    </w:p>
    <w:p>
      <w:pPr>
        <w:spacing w:before="10" w:after="10"/>
        <w:ind w:left="360"/>
      </w:pPr>
      <w:r>
        <w:rPr>
          <w:rFonts w:ascii="Arial" w:cs="Arial" w:eastAsia="Arial" w:hAnsi="Arial"/>
          <w:sz w:val="19"/>
          <w:szCs w:val="19"/>
        </w:rPr>
        <w:t xml:space="preserve">- Exceeds national average (124.8%) but trails A-Class (92.5%)</w:t>
      </w:r>
    </w:p>
    <w:p>
      <w:pPr>
        <w:spacing w:before="10" w:after="10"/>
        <w:ind w:left="360"/>
      </w:pPr>
      <w:r>
        <w:rPr>
          <w:rFonts w:ascii="Arial" w:cs="Arial" w:eastAsia="Arial" w:hAnsi="Arial"/>
          <w:sz w:val="19"/>
          <w:szCs w:val="19"/>
        </w:rPr>
        <w:t xml:space="preserve">- P&amp;A PTUR declined 6.4%, below peer trend</w:t>
      </w:r>
    </w:p>
    <w:p>
      <w:pPr>
        <w:pStyle w:val="Heading2"/>
        <w:spacing w:before="130" w:after="60"/>
      </w:pPr>
      <w:r>
        <w:rPr>
          <w:rFonts w:ascii="Arial" w:cs="Arial" w:eastAsia="Arial" w:hAnsi="Arial"/>
          <w:b/>
          <w:bCs/>
          <w:color w:val="2E75B6"/>
          <w:sz w:val="22"/>
          <w:szCs w:val="22"/>
        </w:rPr>
        <w:t xml:space="preserve">2. Departmental Gross Profit Performance (25% weight)</w:t>
      </w:r>
    </w:p>
    <w:p>
      <w:pPr>
        <w:spacing w:before="30" w:after="30"/>
      </w:pPr>
      <w:r>
        <w:rPr>
          <w:rFonts w:ascii="Arial" w:cs="Arial" w:eastAsia="Arial" w:hAnsi="Arial"/>
          <w:b/>
          <w:bCs/>
          <w:sz w:val="21"/>
          <w:szCs w:val="21"/>
        </w:rPr>
        <w:t xml:space="preserve">Score: </w:t>
      </w:r>
      <w:r>
        <w:rPr>
          <w:rFonts w:ascii="Arial" w:cs="Arial" w:eastAsia="Arial" w:hAnsi="Arial"/>
          <w:b/>
          <w:bCs/>
          <w:color w:val="2E75B6"/>
          <w:sz w:val="21"/>
          <w:szCs w:val="21"/>
        </w:rPr>
        <w:t xml:space="preserve">68/100</w:t>
      </w:r>
    </w:p>
    <w:p>
      <w:pPr>
        <w:spacing w:before="20" w:after="15"/>
      </w:pPr>
      <w:r>
        <w:rPr>
          <w:rFonts w:ascii="Arial" w:cs="Arial" w:eastAsia="Arial" w:hAnsi="Arial"/>
          <w:b/>
          <w:bCs/>
          <w:i/>
          <w:iCs/>
          <w:sz w:val="19"/>
          <w:szCs w:val="19"/>
        </w:rPr>
        <w:t xml:space="preserve">Primary Factors:</w:t>
      </w:r>
    </w:p>
    <w:p>
      <w:pPr>
        <w:spacing w:before="10" w:after="10"/>
        <w:ind w:left="360"/>
      </w:pPr>
      <w:r>
        <w:rPr>
          <w:rFonts w:ascii="Arial" w:cs="Arial" w:eastAsia="Arial" w:hAnsi="Arial"/>
          <w:sz w:val="19"/>
          <w:szCs w:val="19"/>
        </w:rPr>
        <w:t xml:space="preserve">- P&amp;A Gross Margin at 30.95%, good (within benchmark range)</w:t>
      </w:r>
    </w:p>
    <w:p>
      <w:pPr>
        <w:spacing w:before="10" w:after="10"/>
        <w:ind w:left="360"/>
      </w:pPr>
      <w:r>
        <w:rPr>
          <w:rFonts w:ascii="Arial" w:cs="Arial" w:eastAsia="Arial" w:hAnsi="Arial"/>
          <w:sz w:val="19"/>
          <w:szCs w:val="19"/>
        </w:rPr>
        <w:t xml:space="preserve">- ABC P&amp;A Gross Margin at 31.32%, good (within range)</w:t>
      </w:r>
    </w:p>
    <w:p>
      <w:pPr>
        <w:spacing w:before="10" w:after="10"/>
        <w:ind w:left="360"/>
      </w:pPr>
      <w:r>
        <w:rPr>
          <w:rFonts w:ascii="Arial" w:cs="Arial" w:eastAsia="Arial" w:hAnsi="Arial"/>
          <w:sz w:val="19"/>
          <w:szCs w:val="19"/>
        </w:rPr>
        <w:t xml:space="preserve">- Both margins improved year-over-year</w:t>
      </w:r>
    </w:p>
    <w:p>
      <w:pPr>
        <w:spacing w:before="10" w:after="10"/>
        <w:ind w:left="360"/>
      </w:pPr>
      <w:r>
        <w:rPr>
          <w:rFonts w:ascii="Arial" w:cs="Arial" w:eastAsia="Arial" w:hAnsi="Arial"/>
          <w:sz w:val="19"/>
          <w:szCs w:val="19"/>
        </w:rPr>
        <w:t xml:space="preserve">- Margins slightly below peer averages but trending positively</w:t>
      </w:r>
    </w:p>
    <w:p>
      <w:pPr>
        <w:pStyle w:val="Heading2"/>
        <w:spacing w:before="130" w:after="60"/>
      </w:pPr>
      <w:r>
        <w:rPr>
          <w:rFonts w:ascii="Arial" w:cs="Arial" w:eastAsia="Arial" w:hAnsi="Arial"/>
          <w:b/>
          <w:bCs/>
          <w:color w:val="2E75B6"/>
          <w:sz w:val="22"/>
          <w:szCs w:val="22"/>
        </w:rPr>
        <w:t xml:space="preserve">3. Cost Management (20% weight)</w:t>
      </w:r>
    </w:p>
    <w:p>
      <w:pPr>
        <w:spacing w:before="30" w:after="30"/>
      </w:pPr>
      <w:r>
        <w:rPr>
          <w:rFonts w:ascii="Arial" w:cs="Arial" w:eastAsia="Arial" w:hAnsi="Arial"/>
          <w:b/>
          <w:bCs/>
          <w:sz w:val="21"/>
          <w:szCs w:val="21"/>
        </w:rPr>
        <w:t xml:space="preserve">Score: </w:t>
      </w:r>
      <w:r>
        <w:rPr>
          <w:rFonts w:ascii="Arial" w:cs="Arial" w:eastAsia="Arial" w:hAnsi="Arial"/>
          <w:b/>
          <w:bCs/>
          <w:color w:val="2E75B6"/>
          <w:sz w:val="21"/>
          <w:szCs w:val="21"/>
        </w:rPr>
        <w:t xml:space="preserve">65/100</w:t>
      </w:r>
    </w:p>
    <w:p>
      <w:pPr>
        <w:spacing w:before="20" w:after="15"/>
      </w:pPr>
      <w:r>
        <w:rPr>
          <w:rFonts w:ascii="Arial" w:cs="Arial" w:eastAsia="Arial" w:hAnsi="Arial"/>
          <w:b/>
          <w:bCs/>
          <w:i/>
          <w:iCs/>
          <w:sz w:val="19"/>
          <w:szCs w:val="19"/>
        </w:rPr>
        <w:t xml:space="preserve">Primary Factors:</w:t>
      </w:r>
    </w:p>
    <w:p>
      <w:pPr>
        <w:spacing w:before="10" w:after="10"/>
        <w:ind w:left="360"/>
      </w:pPr>
      <w:r>
        <w:rPr>
          <w:rFonts w:ascii="Arial" w:cs="Arial" w:eastAsia="Arial" w:hAnsi="Arial"/>
          <w:sz w:val="19"/>
          <w:szCs w:val="19"/>
        </w:rPr>
        <w:t xml:space="preserve">- Inventory turns at 3.94, excellent (above benchmark max)</w:t>
      </w:r>
    </w:p>
    <w:p>
      <w:pPr>
        <w:spacing w:before="10" w:after="10"/>
        <w:ind w:left="360"/>
      </w:pPr>
      <w:r>
        <w:rPr>
          <w:rFonts w:ascii="Arial" w:cs="Arial" w:eastAsia="Arial" w:hAnsi="Arial"/>
          <w:sz w:val="19"/>
          <w:szCs w:val="19"/>
        </w:rPr>
        <w:t xml:space="preserve">- Efficient purchasing and inventory velocity</w:t>
      </w:r>
    </w:p>
    <w:p>
      <w:pPr>
        <w:spacing w:before="10" w:after="10"/>
        <w:ind w:left="360"/>
      </w:pPr>
      <w:r>
        <w:rPr>
          <w:rFonts w:ascii="Arial" w:cs="Arial" w:eastAsia="Arial" w:hAnsi="Arial"/>
          <w:sz w:val="19"/>
          <w:szCs w:val="19"/>
        </w:rPr>
        <w:t xml:space="preserve">- Non-moving inventory at 31.6%, substandard (above 20% max)</w:t>
      </w:r>
    </w:p>
    <w:p>
      <w:pPr>
        <w:spacing w:before="10" w:after="10"/>
        <w:ind w:left="360"/>
      </w:pPr>
      <w:r>
        <w:rPr>
          <w:rFonts w:ascii="Arial" w:cs="Arial" w:eastAsia="Arial" w:hAnsi="Arial"/>
          <w:sz w:val="19"/>
          <w:szCs w:val="19"/>
        </w:rPr>
        <w:t xml:space="preserve">- Balance needed between turn speed and stock breadth</w:t>
      </w:r>
    </w:p>
    <w:p>
      <w:pPr>
        <w:pStyle w:val="Heading2"/>
        <w:spacing w:before="130" w:after="60"/>
      </w:pPr>
      <w:r>
        <w:rPr>
          <w:rFonts w:ascii="Arial" w:cs="Arial" w:eastAsia="Arial" w:hAnsi="Arial"/>
          <w:b/>
          <w:bCs/>
          <w:color w:val="2E75B6"/>
          <w:sz w:val="22"/>
          <w:szCs w:val="22"/>
        </w:rPr>
        <w:t xml:space="preserve">4. Market Position/Growth (15% weight)</w:t>
      </w:r>
    </w:p>
    <w:p>
      <w:pPr>
        <w:spacing w:before="30" w:after="30"/>
      </w:pPr>
      <w:r>
        <w:rPr>
          <w:rFonts w:ascii="Arial" w:cs="Arial" w:eastAsia="Arial" w:hAnsi="Arial"/>
          <w:b/>
          <w:bCs/>
          <w:sz w:val="21"/>
          <w:szCs w:val="21"/>
        </w:rPr>
        <w:t xml:space="preserve">Score: </w:t>
      </w:r>
      <w:r>
        <w:rPr>
          <w:rFonts w:ascii="Arial" w:cs="Arial" w:eastAsia="Arial" w:hAnsi="Arial"/>
          <w:b/>
          <w:bCs/>
          <w:color w:val="2E75B6"/>
          <w:sz w:val="21"/>
          <w:szCs w:val="21"/>
        </w:rPr>
        <w:t xml:space="preserve">62/100</w:t>
      </w:r>
    </w:p>
    <w:p>
      <w:pPr>
        <w:spacing w:before="20" w:after="15"/>
      </w:pPr>
      <w:r>
        <w:rPr>
          <w:rFonts w:ascii="Arial" w:cs="Arial" w:eastAsia="Arial" w:hAnsi="Arial"/>
          <w:b/>
          <w:bCs/>
          <w:i/>
          <w:iCs/>
          <w:sz w:val="19"/>
          <w:szCs w:val="19"/>
        </w:rPr>
        <w:t xml:space="preserve">Primary Factors:</w:t>
      </w:r>
    </w:p>
    <w:p>
      <w:pPr>
        <w:spacing w:before="10" w:after="10"/>
        <w:ind w:left="360"/>
      </w:pPr>
      <w:r>
        <w:rPr>
          <w:rFonts w:ascii="Arial" w:cs="Arial" w:eastAsia="Arial" w:hAnsi="Arial"/>
          <w:sz w:val="19"/>
          <w:szCs w:val="19"/>
        </w:rPr>
        <w:t xml:space="preserve">- ABC P&amp;A sales significantly exceed national average (166.3%)</w:t>
      </w:r>
    </w:p>
    <w:p>
      <w:pPr>
        <w:spacing w:before="10" w:after="10"/>
        <w:ind w:left="360"/>
      </w:pPr>
      <w:r>
        <w:rPr>
          <w:rFonts w:ascii="Arial" w:cs="Arial" w:eastAsia="Arial" w:hAnsi="Arial"/>
          <w:sz w:val="19"/>
          <w:szCs w:val="19"/>
        </w:rPr>
        <w:t xml:space="preserve">- PNHMR in line with A-Class average (101.9%)</w:t>
      </w:r>
    </w:p>
    <w:p>
      <w:pPr>
        <w:spacing w:before="10" w:after="10"/>
        <w:ind w:left="360"/>
      </w:pPr>
      <w:r>
        <w:rPr>
          <w:rFonts w:ascii="Arial" w:cs="Arial" w:eastAsia="Arial" w:hAnsi="Arial"/>
          <w:sz w:val="19"/>
          <w:szCs w:val="19"/>
        </w:rPr>
        <w:t xml:space="preserve">- PTUR in line with A-Class (100.2%) but below national</w:t>
      </w:r>
    </w:p>
    <w:p>
      <w:pPr>
        <w:spacing w:before="10" w:after="10"/>
        <w:ind w:left="360"/>
      </w:pPr>
      <w:r>
        <w:rPr>
          <w:rFonts w:ascii="Arial" w:cs="Arial" w:eastAsia="Arial" w:hAnsi="Arial"/>
          <w:sz w:val="19"/>
          <w:szCs w:val="19"/>
        </w:rPr>
        <w:t xml:space="preserve">- Maintained market position despite challenging conditions</w:t>
      </w:r>
    </w:p>
    <w:p>
      <w:pPr>
        <w:pStyle w:val="Heading2"/>
        <w:spacing w:before="130" w:after="60"/>
      </w:pPr>
      <w:r>
        <w:rPr>
          <w:rFonts w:ascii="Arial" w:cs="Arial" w:eastAsia="Arial" w:hAnsi="Arial"/>
          <w:b/>
          <w:bCs/>
          <w:color w:val="2E75B6"/>
          <w:sz w:val="22"/>
          <w:szCs w:val="22"/>
        </w:rPr>
        <w:t xml:space="preserve">5. Operational Efficiency (10% weight)</w:t>
      </w:r>
    </w:p>
    <w:p>
      <w:pPr>
        <w:spacing w:before="30" w:after="30"/>
      </w:pPr>
      <w:r>
        <w:rPr>
          <w:rFonts w:ascii="Arial" w:cs="Arial" w:eastAsia="Arial" w:hAnsi="Arial"/>
          <w:b/>
          <w:bCs/>
          <w:sz w:val="21"/>
          <w:szCs w:val="21"/>
        </w:rPr>
        <w:t xml:space="preserve">Score: </w:t>
      </w:r>
      <w:r>
        <w:rPr>
          <w:rFonts w:ascii="Arial" w:cs="Arial" w:eastAsia="Arial" w:hAnsi="Arial"/>
          <w:b/>
          <w:bCs/>
          <w:color w:val="2E75B6"/>
          <w:sz w:val="21"/>
          <w:szCs w:val="21"/>
        </w:rPr>
        <w:t xml:space="preserve">70/100</w:t>
      </w:r>
    </w:p>
    <w:p>
      <w:pPr>
        <w:spacing w:before="20" w:after="15"/>
      </w:pPr>
      <w:r>
        <w:rPr>
          <w:rFonts w:ascii="Arial" w:cs="Arial" w:eastAsia="Arial" w:hAnsi="Arial"/>
          <w:b/>
          <w:bCs/>
          <w:i/>
          <w:iCs/>
          <w:sz w:val="19"/>
          <w:szCs w:val="19"/>
        </w:rPr>
        <w:t xml:space="preserve">Primary Factors:</w:t>
      </w:r>
    </w:p>
    <w:p>
      <w:pPr>
        <w:spacing w:before="10" w:after="10"/>
        <w:ind w:left="360"/>
      </w:pPr>
      <w:r>
        <w:rPr>
          <w:rFonts w:ascii="Arial" w:cs="Arial" w:eastAsia="Arial" w:hAnsi="Arial"/>
          <w:sz w:val="19"/>
          <w:szCs w:val="19"/>
        </w:rPr>
        <w:t xml:space="preserve">- Excellent inventory turn performance</w:t>
      </w:r>
    </w:p>
    <w:p>
      <w:pPr>
        <w:spacing w:before="10" w:after="10"/>
        <w:ind w:left="360"/>
      </w:pPr>
      <w:r>
        <w:rPr>
          <w:rFonts w:ascii="Arial" w:cs="Arial" w:eastAsia="Arial" w:hAnsi="Arial"/>
          <w:sz w:val="19"/>
          <w:szCs w:val="19"/>
        </w:rPr>
        <w:t xml:space="preserve">- Effective ABC P&amp;A attachment per new unit sold</w:t>
      </w:r>
    </w:p>
    <w:p>
      <w:pPr>
        <w:spacing w:before="10" w:after="10"/>
        <w:ind w:left="360"/>
      </w:pPr>
      <w:r>
        <w:rPr>
          <w:rFonts w:ascii="Arial" w:cs="Arial" w:eastAsia="Arial" w:hAnsi="Arial"/>
          <w:sz w:val="19"/>
          <w:szCs w:val="19"/>
        </w:rPr>
        <w:t xml:space="preserve">- Growth in ABC P&amp;A despite slight new unit decline</w:t>
      </w:r>
    </w:p>
    <w:p>
      <w:pPr>
        <w:spacing w:before="10" w:after="10"/>
        <w:ind w:left="360"/>
      </w:pPr>
      <w:r>
        <w:rPr>
          <w:rFonts w:ascii="Arial" w:cs="Arial" w:eastAsia="Arial" w:hAnsi="Arial"/>
          <w:sz w:val="19"/>
          <w:szCs w:val="19"/>
        </w:rPr>
        <w:t xml:space="preserve">- Non-moving inventory management needs improvement</w:t>
      </w:r>
    </w:p>
    <w:p>
      <w:pPr>
        <w:pStyle w:val="Heading2"/>
        <w:spacing w:before="200" w:after="100"/>
      </w:pPr>
      <w:r>
        <w:rPr>
          <w:rFonts w:ascii="Arial" w:cs="Arial" w:eastAsia="Arial" w:hAnsi="Arial"/>
          <w:b/>
          <w:bCs/>
          <w:color w:val="1F3864"/>
          <w:sz w:val="24"/>
          <w:szCs w:val="24"/>
        </w:rPr>
        <w:t xml:space="preserve">Department Performance Score Summary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600"/>
        <w:gridCol w:w="1400"/>
        <w:gridCol w:w="1400"/>
        <w:gridCol w:w="1560"/>
        <w:gridCol w:w="1400"/>
      </w:tblGrid>
      <w:tr>
        <w:tc>
          <w:tcPr>
            <w:tcW w:type="dxa" w:w="3600"/>
            <w:tcBorders>
              <w:top w:val="single" w:color="CCCCCC" w:sz="1"/>
              <w:left w:val="single" w:color="CCCCCC" w:sz="1"/>
              <w:bottom w:val="single" w:color="CCCCCC" w:sz="1"/>
              <w:right w:val="single" w:color="CCCCCC" w:sz="1"/>
            </w:tcBorders>
            <w:shd w:fill="1F3864" w:val="clear"/>
            <w:tcMar>
              <w:top w:type="dxa" w:w="60"/>
              <w:left w:type="dxa" w:w="100"/>
              <w:bottom w:type="dxa" w:w="60"/>
              <w:right w:type="dxa" w:w="100"/>
            </w:tcMar>
            <w:vAlign w:val="center"/>
          </w:tcPr>
          <w:p>
            <w:pPr>
              <w:spacing w:before="20" w:after="20"/>
              <w:jc w:val="left"/>
            </w:pPr>
            <w:r>
              <w:rPr>
                <w:rFonts w:ascii="Arial" w:cs="Arial" w:eastAsia="Arial" w:hAnsi="Arial"/>
                <w:b/>
                <w:bCs/>
                <w:color w:val="FFFFFF"/>
                <w:sz w:val="20"/>
                <w:szCs w:val="20"/>
              </w:rPr>
              <w:t xml:space="preserve">Performance Category</w:t>
            </w:r>
          </w:p>
        </w:tc>
        <w:tc>
          <w:tcPr>
            <w:tcW w:type="dxa" w:w="1400"/>
            <w:tcBorders>
              <w:top w:val="single" w:color="CCCCCC" w:sz="1"/>
              <w:left w:val="single" w:color="CCCCCC" w:sz="1"/>
              <w:bottom w:val="single" w:color="CCCCCC" w:sz="1"/>
              <w:right w:val="single" w:color="CCCCCC" w:sz="1"/>
            </w:tcBorders>
            <w:shd w:fill="1F3864" w:val="clear"/>
            <w:tcMar>
              <w:top w:type="dxa" w:w="60"/>
              <w:left w:type="dxa" w:w="100"/>
              <w:bottom w:type="dxa" w:w="60"/>
              <w:right w:type="dxa" w:w="100"/>
            </w:tcMar>
            <w:vAlign w:val="center"/>
          </w:tcPr>
          <w:p>
            <w:pPr>
              <w:spacing w:before="20" w:after="20"/>
              <w:jc w:val="center"/>
            </w:pPr>
            <w:r>
              <w:rPr>
                <w:rFonts w:ascii="Arial" w:cs="Arial" w:eastAsia="Arial" w:hAnsi="Arial"/>
                <w:b/>
                <w:bCs/>
                <w:color w:val="FFFFFF"/>
                <w:sz w:val="20"/>
                <w:szCs w:val="20"/>
              </w:rPr>
              <w:t xml:space="preserve">Weight</w:t>
            </w:r>
          </w:p>
        </w:tc>
        <w:tc>
          <w:tcPr>
            <w:tcW w:type="dxa" w:w="1400"/>
            <w:tcBorders>
              <w:top w:val="single" w:color="CCCCCC" w:sz="1"/>
              <w:left w:val="single" w:color="CCCCCC" w:sz="1"/>
              <w:bottom w:val="single" w:color="CCCCCC" w:sz="1"/>
              <w:right w:val="single" w:color="CCCCCC" w:sz="1"/>
            </w:tcBorders>
            <w:shd w:fill="1F3864" w:val="clear"/>
            <w:tcMar>
              <w:top w:type="dxa" w:w="60"/>
              <w:left w:type="dxa" w:w="100"/>
              <w:bottom w:type="dxa" w:w="60"/>
              <w:right w:type="dxa" w:w="100"/>
            </w:tcMar>
            <w:vAlign w:val="center"/>
          </w:tcPr>
          <w:p>
            <w:pPr>
              <w:spacing w:before="20" w:after="20"/>
              <w:jc w:val="center"/>
            </w:pPr>
            <w:r>
              <w:rPr>
                <w:rFonts w:ascii="Arial" w:cs="Arial" w:eastAsia="Arial" w:hAnsi="Arial"/>
                <w:b/>
                <w:bCs/>
                <w:color w:val="FFFFFF"/>
                <w:sz w:val="20"/>
                <w:szCs w:val="20"/>
              </w:rPr>
              <w:t xml:space="preserve">Score</w:t>
            </w:r>
          </w:p>
        </w:tc>
        <w:tc>
          <w:tcPr>
            <w:tcW w:type="dxa" w:w="1560"/>
            <w:tcBorders>
              <w:top w:val="single" w:color="CCCCCC" w:sz="1"/>
              <w:left w:val="single" w:color="CCCCCC" w:sz="1"/>
              <w:bottom w:val="single" w:color="CCCCCC" w:sz="1"/>
              <w:right w:val="single" w:color="CCCCCC" w:sz="1"/>
            </w:tcBorders>
            <w:shd w:fill="1F3864" w:val="clear"/>
            <w:tcMar>
              <w:top w:type="dxa" w:w="60"/>
              <w:left w:type="dxa" w:w="100"/>
              <w:bottom w:type="dxa" w:w="60"/>
              <w:right w:type="dxa" w:w="100"/>
            </w:tcMar>
            <w:vAlign w:val="center"/>
          </w:tcPr>
          <w:p>
            <w:pPr>
              <w:spacing w:before="20" w:after="20"/>
              <w:jc w:val="center"/>
            </w:pPr>
            <w:r>
              <w:rPr>
                <w:rFonts w:ascii="Arial" w:cs="Arial" w:eastAsia="Arial" w:hAnsi="Arial"/>
                <w:b/>
                <w:bCs/>
                <w:color w:val="FFFFFF"/>
                <w:sz w:val="20"/>
                <w:szCs w:val="20"/>
              </w:rPr>
              <w:t xml:space="preserve">Weighted Score</w:t>
            </w:r>
          </w:p>
        </w:tc>
        <w:tc>
          <w:tcPr>
            <w:tcW w:type="dxa" w:w="1400"/>
            <w:tcBorders>
              <w:top w:val="single" w:color="CCCCCC" w:sz="1"/>
              <w:left w:val="single" w:color="CCCCCC" w:sz="1"/>
              <w:bottom w:val="single" w:color="CCCCCC" w:sz="1"/>
              <w:right w:val="single" w:color="CCCCCC" w:sz="1"/>
            </w:tcBorders>
            <w:shd w:fill="1F3864" w:val="clear"/>
            <w:tcMar>
              <w:top w:type="dxa" w:w="60"/>
              <w:left w:type="dxa" w:w="100"/>
              <w:bottom w:type="dxa" w:w="60"/>
              <w:right w:type="dxa" w:w="100"/>
            </w:tcMar>
            <w:vAlign w:val="center"/>
          </w:tcPr>
          <w:p>
            <w:pPr>
              <w:spacing w:before="20" w:after="20"/>
              <w:jc w:val="center"/>
            </w:pPr>
            <w:r>
              <w:rPr>
                <w:rFonts w:ascii="Arial" w:cs="Arial" w:eastAsia="Arial" w:hAnsi="Arial"/>
                <w:b/>
                <w:bCs/>
                <w:color w:val="FFFFFF"/>
                <w:sz w:val="20"/>
                <w:szCs w:val="20"/>
              </w:rPr>
              <w:t xml:space="preserve">Rating</w:t>
            </w:r>
          </w:p>
        </w:tc>
      </w:tr>
      <w:tr>
        <w:tc>
          <w:tcPr>
            <w:tcW w:type="dxa" w:w="36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pPr>
              <w:spacing w:before="20" w:after="20"/>
              <w:jc w:val="left"/>
            </w:pPr>
            <w:r>
              <w:rPr>
                <w:rFonts w:ascii="Arial" w:cs="Arial" w:eastAsia="Arial" w:hAnsi="Arial"/>
                <w:b w:val="false"/>
                <w:bCs w:val="false"/>
                <w:color w:val="000000"/>
                <w:sz w:val="20"/>
                <w:szCs w:val="20"/>
              </w:rPr>
              <w:t xml:space="preserve">Departmental Sales Performance</w:t>
            </w:r>
          </w:p>
        </w:tc>
        <w:tc>
          <w:tcPr>
            <w:tcW w:type="dxa" w:w="14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pPr>
              <w:spacing w:before="20" w:after="20"/>
              <w:jc w:val="center"/>
            </w:pPr>
            <w:r>
              <w:rPr>
                <w:rFonts w:ascii="Arial" w:cs="Arial" w:eastAsia="Arial" w:hAnsi="Arial"/>
                <w:b w:val="false"/>
                <w:bCs w:val="false"/>
                <w:color w:val="000000"/>
                <w:sz w:val="20"/>
                <w:szCs w:val="20"/>
              </w:rPr>
              <w:t xml:space="preserve">30%</w:t>
            </w:r>
          </w:p>
        </w:tc>
        <w:tc>
          <w:tcPr>
            <w:tcW w:type="dxa" w:w="14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pPr>
              <w:spacing w:before="20" w:after="20"/>
              <w:jc w:val="center"/>
            </w:pPr>
            <w:r>
              <w:rPr>
                <w:rFonts w:ascii="Arial" w:cs="Arial" w:eastAsia="Arial" w:hAnsi="Arial"/>
                <w:b w:val="false"/>
                <w:bCs w:val="false"/>
                <w:color w:val="2E75B6"/>
                <w:sz w:val="20"/>
                <w:szCs w:val="20"/>
              </w:rPr>
              <w:t xml:space="preserve">62</w:t>
            </w:r>
          </w:p>
        </w:tc>
        <w:tc>
          <w:tcPr>
            <w:tcW w:type="dxa" w:w="156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pPr>
              <w:spacing w:before="20" w:after="20"/>
              <w:jc w:val="center"/>
            </w:pPr>
            <w:r>
              <w:rPr>
                <w:rFonts w:ascii="Arial" w:cs="Arial" w:eastAsia="Arial" w:hAnsi="Arial"/>
                <w:b w:val="false"/>
                <w:bCs w:val="false"/>
                <w:color w:val="000000"/>
                <w:sz w:val="20"/>
                <w:szCs w:val="20"/>
              </w:rPr>
              <w:t xml:space="preserve">18.6</w:t>
            </w:r>
          </w:p>
        </w:tc>
        <w:tc>
          <w:tcPr>
            <w:tcW w:type="dxa" w:w="14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pPr>
              <w:spacing w:before="20" w:after="20"/>
              <w:jc w:val="center"/>
            </w:pPr>
            <w:r>
              <w:rPr>
                <w:rFonts w:ascii="Arial" w:cs="Arial" w:eastAsia="Arial" w:hAnsi="Arial"/>
                <w:b w:val="false"/>
                <w:bCs w:val="false"/>
                <w:color w:val="2E75B6"/>
                <w:sz w:val="20"/>
                <w:szCs w:val="20"/>
              </w:rPr>
              <w:t xml:space="preserve">Above Avg</w:t>
            </w:r>
          </w:p>
        </w:tc>
      </w:tr>
      <w:tr>
        <w:tc>
          <w:tcPr>
            <w:tcW w:type="dxa" w:w="36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spacing w:before="20" w:after="20"/>
              <w:jc w:val="left"/>
            </w:pPr>
            <w:r>
              <w:rPr>
                <w:rFonts w:ascii="Arial" w:cs="Arial" w:eastAsia="Arial" w:hAnsi="Arial"/>
                <w:b w:val="false"/>
                <w:bCs w:val="false"/>
                <w:color w:val="000000"/>
                <w:sz w:val="20"/>
                <w:szCs w:val="20"/>
              </w:rPr>
              <w:t xml:space="preserve">Departmental Gross Profit Performance</w:t>
            </w:r>
          </w:p>
        </w:tc>
        <w:tc>
          <w:tcPr>
            <w:tcW w:type="dxa" w:w="14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spacing w:before="20" w:after="20"/>
              <w:jc w:val="center"/>
            </w:pPr>
            <w:r>
              <w:rPr>
                <w:rFonts w:ascii="Arial" w:cs="Arial" w:eastAsia="Arial" w:hAnsi="Arial"/>
                <w:b w:val="false"/>
                <w:bCs w:val="false"/>
                <w:color w:val="000000"/>
                <w:sz w:val="20"/>
                <w:szCs w:val="20"/>
              </w:rPr>
              <w:t xml:space="preserve">25%</w:t>
            </w:r>
          </w:p>
        </w:tc>
        <w:tc>
          <w:tcPr>
            <w:tcW w:type="dxa" w:w="14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spacing w:before="20" w:after="20"/>
              <w:jc w:val="center"/>
            </w:pPr>
            <w:r>
              <w:rPr>
                <w:rFonts w:ascii="Arial" w:cs="Arial" w:eastAsia="Arial" w:hAnsi="Arial"/>
                <w:b w:val="false"/>
                <w:bCs w:val="false"/>
                <w:color w:val="2E75B6"/>
                <w:sz w:val="20"/>
                <w:szCs w:val="20"/>
              </w:rPr>
              <w:t xml:space="preserve">68</w:t>
            </w:r>
          </w:p>
        </w:tc>
        <w:tc>
          <w:tcPr>
            <w:tcW w:type="dxa" w:w="15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spacing w:before="20" w:after="20"/>
              <w:jc w:val="center"/>
            </w:pPr>
            <w:r>
              <w:rPr>
                <w:rFonts w:ascii="Arial" w:cs="Arial" w:eastAsia="Arial" w:hAnsi="Arial"/>
                <w:b w:val="false"/>
                <w:bCs w:val="false"/>
                <w:color w:val="000000"/>
                <w:sz w:val="20"/>
                <w:szCs w:val="20"/>
              </w:rPr>
              <w:t xml:space="preserve">17.0</w:t>
            </w:r>
          </w:p>
        </w:tc>
        <w:tc>
          <w:tcPr>
            <w:tcW w:type="dxa" w:w="14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spacing w:before="20" w:after="20"/>
              <w:jc w:val="center"/>
            </w:pPr>
            <w:r>
              <w:rPr>
                <w:rFonts w:ascii="Arial" w:cs="Arial" w:eastAsia="Arial" w:hAnsi="Arial"/>
                <w:b w:val="false"/>
                <w:bCs w:val="false"/>
                <w:color w:val="2E75B6"/>
                <w:sz w:val="20"/>
                <w:szCs w:val="20"/>
              </w:rPr>
              <w:t xml:space="preserve">Above Avg</w:t>
            </w:r>
          </w:p>
        </w:tc>
      </w:tr>
      <w:tr>
        <w:tc>
          <w:tcPr>
            <w:tcW w:type="dxa" w:w="36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pPr>
              <w:spacing w:before="20" w:after="20"/>
              <w:jc w:val="left"/>
            </w:pPr>
            <w:r>
              <w:rPr>
                <w:rFonts w:ascii="Arial" w:cs="Arial" w:eastAsia="Arial" w:hAnsi="Arial"/>
                <w:b w:val="false"/>
                <w:bCs w:val="false"/>
                <w:color w:val="000000"/>
                <w:sz w:val="20"/>
                <w:szCs w:val="20"/>
              </w:rPr>
              <w:t xml:space="preserve">Cost Management</w:t>
            </w:r>
          </w:p>
        </w:tc>
        <w:tc>
          <w:tcPr>
            <w:tcW w:type="dxa" w:w="14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pPr>
              <w:spacing w:before="20" w:after="20"/>
              <w:jc w:val="center"/>
            </w:pPr>
            <w:r>
              <w:rPr>
                <w:rFonts w:ascii="Arial" w:cs="Arial" w:eastAsia="Arial" w:hAnsi="Arial"/>
                <w:b w:val="false"/>
                <w:bCs w:val="false"/>
                <w:color w:val="000000"/>
                <w:sz w:val="20"/>
                <w:szCs w:val="20"/>
              </w:rPr>
              <w:t xml:space="preserve">20%</w:t>
            </w:r>
          </w:p>
        </w:tc>
        <w:tc>
          <w:tcPr>
            <w:tcW w:type="dxa" w:w="14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pPr>
              <w:spacing w:before="20" w:after="20"/>
              <w:jc w:val="center"/>
            </w:pPr>
            <w:r>
              <w:rPr>
                <w:rFonts w:ascii="Arial" w:cs="Arial" w:eastAsia="Arial" w:hAnsi="Arial"/>
                <w:b w:val="false"/>
                <w:bCs w:val="false"/>
                <w:color w:val="2E75B6"/>
                <w:sz w:val="20"/>
                <w:szCs w:val="20"/>
              </w:rPr>
              <w:t xml:space="preserve">65</w:t>
            </w:r>
          </w:p>
        </w:tc>
        <w:tc>
          <w:tcPr>
            <w:tcW w:type="dxa" w:w="156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pPr>
              <w:spacing w:before="20" w:after="20"/>
              <w:jc w:val="center"/>
            </w:pPr>
            <w:r>
              <w:rPr>
                <w:rFonts w:ascii="Arial" w:cs="Arial" w:eastAsia="Arial" w:hAnsi="Arial"/>
                <w:b w:val="false"/>
                <w:bCs w:val="false"/>
                <w:color w:val="000000"/>
                <w:sz w:val="20"/>
                <w:szCs w:val="20"/>
              </w:rPr>
              <w:t xml:space="preserve">13.0</w:t>
            </w:r>
          </w:p>
        </w:tc>
        <w:tc>
          <w:tcPr>
            <w:tcW w:type="dxa" w:w="14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pPr>
              <w:spacing w:before="20" w:after="20"/>
              <w:jc w:val="center"/>
            </w:pPr>
            <w:r>
              <w:rPr>
                <w:rFonts w:ascii="Arial" w:cs="Arial" w:eastAsia="Arial" w:hAnsi="Arial"/>
                <w:b w:val="false"/>
                <w:bCs w:val="false"/>
                <w:color w:val="2E75B6"/>
                <w:sz w:val="20"/>
                <w:szCs w:val="20"/>
              </w:rPr>
              <w:t xml:space="preserve">Above Avg</w:t>
            </w:r>
          </w:p>
        </w:tc>
      </w:tr>
      <w:tr>
        <w:tc>
          <w:tcPr>
            <w:tcW w:type="dxa" w:w="36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spacing w:before="20" w:after="20"/>
              <w:jc w:val="left"/>
            </w:pPr>
            <w:r>
              <w:rPr>
                <w:rFonts w:ascii="Arial" w:cs="Arial" w:eastAsia="Arial" w:hAnsi="Arial"/>
                <w:b w:val="false"/>
                <w:bCs w:val="false"/>
                <w:color w:val="000000"/>
                <w:sz w:val="20"/>
                <w:szCs w:val="20"/>
              </w:rPr>
              <w:t xml:space="preserve">Market Position/Growth</w:t>
            </w:r>
          </w:p>
        </w:tc>
        <w:tc>
          <w:tcPr>
            <w:tcW w:type="dxa" w:w="14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spacing w:before="20" w:after="20"/>
              <w:jc w:val="center"/>
            </w:pPr>
            <w:r>
              <w:rPr>
                <w:rFonts w:ascii="Arial" w:cs="Arial" w:eastAsia="Arial" w:hAnsi="Arial"/>
                <w:b w:val="false"/>
                <w:bCs w:val="false"/>
                <w:color w:val="000000"/>
                <w:sz w:val="20"/>
                <w:szCs w:val="20"/>
              </w:rPr>
              <w:t xml:space="preserve">15%</w:t>
            </w:r>
          </w:p>
        </w:tc>
        <w:tc>
          <w:tcPr>
            <w:tcW w:type="dxa" w:w="14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spacing w:before="20" w:after="20"/>
              <w:jc w:val="center"/>
            </w:pPr>
            <w:r>
              <w:rPr>
                <w:rFonts w:ascii="Arial" w:cs="Arial" w:eastAsia="Arial" w:hAnsi="Arial"/>
                <w:b w:val="false"/>
                <w:bCs w:val="false"/>
                <w:color w:val="2E75B6"/>
                <w:sz w:val="20"/>
                <w:szCs w:val="20"/>
              </w:rPr>
              <w:t xml:space="preserve">62</w:t>
            </w:r>
          </w:p>
        </w:tc>
        <w:tc>
          <w:tcPr>
            <w:tcW w:type="dxa" w:w="15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spacing w:before="20" w:after="20"/>
              <w:jc w:val="center"/>
            </w:pPr>
            <w:r>
              <w:rPr>
                <w:rFonts w:ascii="Arial" w:cs="Arial" w:eastAsia="Arial" w:hAnsi="Arial"/>
                <w:b w:val="false"/>
                <w:bCs w:val="false"/>
                <w:color w:val="000000"/>
                <w:sz w:val="20"/>
                <w:szCs w:val="20"/>
              </w:rPr>
              <w:t xml:space="preserve">9.3</w:t>
            </w:r>
          </w:p>
        </w:tc>
        <w:tc>
          <w:tcPr>
            <w:tcW w:type="dxa" w:w="14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spacing w:before="20" w:after="20"/>
              <w:jc w:val="center"/>
            </w:pPr>
            <w:r>
              <w:rPr>
                <w:rFonts w:ascii="Arial" w:cs="Arial" w:eastAsia="Arial" w:hAnsi="Arial"/>
                <w:b w:val="false"/>
                <w:bCs w:val="false"/>
                <w:color w:val="2E75B6"/>
                <w:sz w:val="20"/>
                <w:szCs w:val="20"/>
              </w:rPr>
              <w:t xml:space="preserve">Above Avg</w:t>
            </w:r>
          </w:p>
        </w:tc>
      </w:tr>
      <w:tr>
        <w:tc>
          <w:tcPr>
            <w:tcW w:type="dxa" w:w="36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pPr>
              <w:spacing w:before="20" w:after="20"/>
              <w:jc w:val="left"/>
            </w:pPr>
            <w:r>
              <w:rPr>
                <w:rFonts w:ascii="Arial" w:cs="Arial" w:eastAsia="Arial" w:hAnsi="Arial"/>
                <w:b w:val="false"/>
                <w:bCs w:val="false"/>
                <w:color w:val="000000"/>
                <w:sz w:val="20"/>
                <w:szCs w:val="20"/>
              </w:rPr>
              <w:t xml:space="preserve">Operational Efficiency</w:t>
            </w:r>
          </w:p>
        </w:tc>
        <w:tc>
          <w:tcPr>
            <w:tcW w:type="dxa" w:w="14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pPr>
              <w:spacing w:before="20" w:after="20"/>
              <w:jc w:val="center"/>
            </w:pPr>
            <w:r>
              <w:rPr>
                <w:rFonts w:ascii="Arial" w:cs="Arial" w:eastAsia="Arial" w:hAnsi="Arial"/>
                <w:b w:val="false"/>
                <w:bCs w:val="false"/>
                <w:color w:val="000000"/>
                <w:sz w:val="20"/>
                <w:szCs w:val="20"/>
              </w:rPr>
              <w:t xml:space="preserve">10%</w:t>
            </w:r>
          </w:p>
        </w:tc>
        <w:tc>
          <w:tcPr>
            <w:tcW w:type="dxa" w:w="14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pPr>
              <w:spacing w:before="20" w:after="20"/>
              <w:jc w:val="center"/>
            </w:pPr>
            <w:r>
              <w:rPr>
                <w:rFonts w:ascii="Arial" w:cs="Arial" w:eastAsia="Arial" w:hAnsi="Arial"/>
                <w:b w:val="false"/>
                <w:bCs w:val="false"/>
                <w:color w:val="2E75B6"/>
                <w:sz w:val="20"/>
                <w:szCs w:val="20"/>
              </w:rPr>
              <w:t xml:space="preserve">70</w:t>
            </w:r>
          </w:p>
        </w:tc>
        <w:tc>
          <w:tcPr>
            <w:tcW w:type="dxa" w:w="156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pPr>
              <w:spacing w:before="20" w:after="20"/>
              <w:jc w:val="center"/>
            </w:pPr>
            <w:r>
              <w:rPr>
                <w:rFonts w:ascii="Arial" w:cs="Arial" w:eastAsia="Arial" w:hAnsi="Arial"/>
                <w:b w:val="false"/>
                <w:bCs w:val="false"/>
                <w:color w:val="000000"/>
                <w:sz w:val="20"/>
                <w:szCs w:val="20"/>
              </w:rPr>
              <w:t xml:space="preserve">7.0</w:t>
            </w:r>
          </w:p>
        </w:tc>
        <w:tc>
          <w:tcPr>
            <w:tcW w:type="dxa" w:w="14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pPr>
              <w:spacing w:before="20" w:after="20"/>
              <w:jc w:val="center"/>
            </w:pPr>
            <w:r>
              <w:rPr>
                <w:rFonts w:ascii="Arial" w:cs="Arial" w:eastAsia="Arial" w:hAnsi="Arial"/>
                <w:b w:val="false"/>
                <w:bCs w:val="false"/>
                <w:color w:val="2E75B6"/>
                <w:sz w:val="20"/>
                <w:szCs w:val="20"/>
              </w:rPr>
              <w:t xml:space="preserve">Above Avg</w:t>
            </w:r>
          </w:p>
        </w:tc>
      </w:tr>
      <w:tr>
        <w:tc>
          <w:tcPr>
            <w:tcW w:type="dxa" w:w="3600"/>
            <w:tcBorders>
              <w:top w:val="single" w:color="CCCCCC" w:sz="1"/>
              <w:left w:val="single" w:color="CCCCCC" w:sz="1"/>
              <w:bottom w:val="single" w:color="CCCCCC" w:sz="1"/>
              <w:right w:val="single" w:color="CCCCCC" w:sz="1"/>
            </w:tcBorders>
            <w:shd w:fill="2E75B6" w:val="clear"/>
            <w:tcMar>
              <w:top w:type="dxa" w:w="60"/>
              <w:left w:type="dxa" w:w="100"/>
              <w:bottom w:type="dxa" w:w="60"/>
              <w:right w:type="dxa" w:w="100"/>
            </w:tcMar>
            <w:vAlign w:val="center"/>
          </w:tcPr>
          <w:p>
            <w:pPr>
              <w:spacing w:before="20" w:after="20"/>
              <w:jc w:val="left"/>
            </w:pPr>
            <w:r>
              <w:rPr>
                <w:rFonts w:ascii="Arial" w:cs="Arial" w:eastAsia="Arial" w:hAnsi="Arial"/>
                <w:b/>
                <w:bCs/>
                <w:color w:val="FFFFFF"/>
                <w:sz w:val="20"/>
                <w:szCs w:val="20"/>
              </w:rPr>
              <w:t xml:space="preserve">TOTAL</w:t>
            </w:r>
          </w:p>
        </w:tc>
        <w:tc>
          <w:tcPr>
            <w:tcW w:type="dxa" w:w="1400"/>
            <w:tcBorders>
              <w:top w:val="single" w:color="CCCCCC" w:sz="1"/>
              <w:left w:val="single" w:color="CCCCCC" w:sz="1"/>
              <w:bottom w:val="single" w:color="CCCCCC" w:sz="1"/>
              <w:right w:val="single" w:color="CCCCCC" w:sz="1"/>
            </w:tcBorders>
            <w:shd w:fill="2E75B6" w:val="clear"/>
            <w:tcMar>
              <w:top w:type="dxa" w:w="60"/>
              <w:left w:type="dxa" w:w="100"/>
              <w:bottom w:type="dxa" w:w="60"/>
              <w:right w:type="dxa" w:w="100"/>
            </w:tcMar>
            <w:vAlign w:val="center"/>
          </w:tcPr>
          <w:p>
            <w:pPr>
              <w:spacing w:before="20" w:after="20"/>
              <w:jc w:val="center"/>
            </w:pPr>
            <w:r>
              <w:rPr>
                <w:rFonts w:ascii="Arial" w:cs="Arial" w:eastAsia="Arial" w:hAnsi="Arial"/>
                <w:b/>
                <w:bCs/>
                <w:color w:val="FFFFFF"/>
                <w:sz w:val="20"/>
                <w:szCs w:val="20"/>
              </w:rPr>
              <w:t xml:space="preserve">100%</w:t>
            </w:r>
          </w:p>
        </w:tc>
        <w:tc>
          <w:tcPr>
            <w:tcW w:type="dxa" w:w="1400"/>
            <w:tcBorders>
              <w:top w:val="single" w:color="CCCCCC" w:sz="1"/>
              <w:left w:val="single" w:color="CCCCCC" w:sz="1"/>
              <w:bottom w:val="single" w:color="CCCCCC" w:sz="1"/>
              <w:right w:val="single" w:color="CCCCCC" w:sz="1"/>
            </w:tcBorders>
            <w:shd w:fill="2E75B6" w:val="clear"/>
            <w:tcMar>
              <w:top w:type="dxa" w:w="60"/>
              <w:left w:type="dxa" w:w="100"/>
              <w:bottom w:type="dxa" w:w="60"/>
              <w:right w:type="dxa" w:w="100"/>
            </w:tcMar>
            <w:vAlign w:val="center"/>
          </w:tcPr>
          <w:p>
            <w:pPr>
              <w:spacing w:before="20" w:after="20"/>
              <w:jc w:val="center"/>
            </w:pPr>
            <w:r>
              <w:rPr>
                <w:rFonts w:ascii="Arial" w:cs="Arial" w:eastAsia="Arial" w:hAnsi="Arial"/>
                <w:b/>
                <w:bCs/>
                <w:color w:val="FFFFFF"/>
                <w:sz w:val="20"/>
                <w:szCs w:val="20"/>
              </w:rPr>
              <w:t xml:space="preserve">-</w:t>
            </w:r>
          </w:p>
        </w:tc>
        <w:tc>
          <w:tcPr>
            <w:tcW w:type="dxa" w:w="1560"/>
            <w:tcBorders>
              <w:top w:val="single" w:color="CCCCCC" w:sz="1"/>
              <w:left w:val="single" w:color="CCCCCC" w:sz="1"/>
              <w:bottom w:val="single" w:color="CCCCCC" w:sz="1"/>
              <w:right w:val="single" w:color="CCCCCC" w:sz="1"/>
            </w:tcBorders>
            <w:shd w:fill="2E75B6" w:val="clear"/>
            <w:tcMar>
              <w:top w:type="dxa" w:w="60"/>
              <w:left w:type="dxa" w:w="100"/>
              <w:bottom w:type="dxa" w:w="60"/>
              <w:right w:type="dxa" w:w="100"/>
            </w:tcMar>
            <w:vAlign w:val="center"/>
          </w:tcPr>
          <w:p>
            <w:pPr>
              <w:spacing w:before="20" w:after="20"/>
              <w:jc w:val="center"/>
            </w:pPr>
            <w:r>
              <w:rPr>
                <w:rFonts w:ascii="Arial" w:cs="Arial" w:eastAsia="Arial" w:hAnsi="Arial"/>
                <w:b/>
                <w:bCs/>
                <w:color w:val="FFFFFF"/>
                <w:sz w:val="20"/>
                <w:szCs w:val="20"/>
              </w:rPr>
              <w:t xml:space="preserve">64.9</w:t>
            </w:r>
          </w:p>
        </w:tc>
        <w:tc>
          <w:tcPr>
            <w:tcW w:type="dxa" w:w="1400"/>
            <w:tcBorders>
              <w:top w:val="single" w:color="CCCCCC" w:sz="1"/>
              <w:left w:val="single" w:color="CCCCCC" w:sz="1"/>
              <w:bottom w:val="single" w:color="CCCCCC" w:sz="1"/>
              <w:right w:val="single" w:color="CCCCCC" w:sz="1"/>
            </w:tcBorders>
            <w:shd w:fill="2E75B6" w:val="clear"/>
            <w:tcMar>
              <w:top w:type="dxa" w:w="60"/>
              <w:left w:type="dxa" w:w="100"/>
              <w:bottom w:type="dxa" w:w="60"/>
              <w:right w:type="dxa" w:w="100"/>
            </w:tcMar>
            <w:vAlign w:val="center"/>
          </w:tcPr>
          <w:p>
            <w:pPr>
              <w:spacing w:before="20" w:after="20"/>
              <w:jc w:val="center"/>
            </w:pPr>
            <w:r>
              <w:rPr>
                <w:rFonts w:ascii="Arial" w:cs="Arial" w:eastAsia="Arial" w:hAnsi="Arial"/>
                <w:b/>
                <w:bCs/>
                <w:color w:val="FFFFFF"/>
                <w:sz w:val="20"/>
                <w:szCs w:val="20"/>
              </w:rPr>
              <w:t xml:space="preserve">Average</w:t>
            </w:r>
          </w:p>
        </w:tc>
      </w:tr>
    </w:tbl>
    <w:p>
      <w:pPr>
        <w:spacing w:before="120" w:after="200"/>
      </w:pPr>
      <w:r>
        <w:rPr>
          <w:rFonts w:ascii="Arial" w:cs="Arial" w:eastAsia="Arial" w:hAnsi="Arial"/>
          <w:b/>
          <w:bCs/>
          <w:color w:val="2E75B6"/>
          <w:sz w:val="22"/>
          <w:szCs w:val="22"/>
        </w:rPr>
        <w:t xml:space="preserve">Overall Weighted Score: 64.9/100 - Average</w:t>
      </w:r>
    </w:p>
    <w:p>
      <w:r>
        <w:br w:type="page"/>
      </w:r>
    </w:p>
    <w:p>
      <w:pPr>
        <w:pStyle w:val="Heading1"/>
        <w:spacing w:before="200" w:after="120"/>
      </w:pPr>
      <w:r>
        <w:rPr>
          <w:rFonts w:ascii="Arial" w:cs="Arial" w:eastAsia="Arial" w:hAnsi="Arial"/>
          <w:b/>
          <w:bCs/>
          <w:color w:val="006400"/>
          <w:sz w:val="28"/>
          <w:szCs w:val="28"/>
        </w:rPr>
        <w:t xml:space="preserve">Key Strengths</w:t>
      </w:r>
    </w:p>
    <w:p>
      <w:pPr>
        <w:spacing w:before="35" w:after="35"/>
        <w:ind w:left="360"/>
      </w:pPr>
      <w:r>
        <w:rPr>
          <w:rFonts w:ascii="Arial" w:cs="Arial" w:eastAsia="Arial" w:hAnsi="Arial"/>
          <w:sz w:val="21"/>
          <w:szCs w:val="21"/>
        </w:rPr>
        <w:t xml:space="preserve">1. ABC P&amp;A Inventory Turns at 3.94, excellent - significantly above benchmark max (3.5) and peer averages</w:t>
      </w:r>
    </w:p>
    <w:p>
      <w:pPr>
        <w:spacing w:before="35" w:after="35"/>
        <w:ind w:left="360"/>
      </w:pPr>
      <w:r>
        <w:rPr>
          <w:rFonts w:ascii="Arial" w:cs="Arial" w:eastAsia="Arial" w:hAnsi="Arial"/>
          <w:sz w:val="21"/>
          <w:szCs w:val="21"/>
        </w:rPr>
        <w:t xml:space="preserve">2. ABC P&amp;A Sales growth of 6.5% YoY, outperforming A-Class and national average trends</w:t>
      </w:r>
    </w:p>
    <w:p>
      <w:pPr>
        <w:spacing w:before="35" w:after="35"/>
        <w:ind w:left="360"/>
      </w:pPr>
      <w:r>
        <w:rPr>
          <w:rFonts w:ascii="Arial" w:cs="Arial" w:eastAsia="Arial" w:hAnsi="Arial"/>
          <w:sz w:val="21"/>
          <w:szCs w:val="21"/>
        </w:rPr>
        <w:t xml:space="preserve">3. P&amp;A Gross Margin and ABC P&amp;A Gross Margin both within good benchmark range and improving YoY</w:t>
      </w:r>
    </w:p>
    <w:p>
      <w:pPr>
        <w:spacing w:before="35" w:after="35"/>
        <w:ind w:left="360"/>
      </w:pPr>
      <w:r>
        <w:rPr>
          <w:rFonts w:ascii="Arial" w:cs="Arial" w:eastAsia="Arial" w:hAnsi="Arial"/>
          <w:sz w:val="21"/>
          <w:szCs w:val="21"/>
        </w:rPr>
        <w:t xml:space="preserve">4. ABC P&amp;A Sales at 166.3% of national average - strong market position</w:t>
      </w:r>
    </w:p>
    <w:p>
      <w:pPr>
        <w:spacing w:before="35" w:after="35"/>
        <w:ind w:left="360"/>
      </w:pPr>
      <w:r>
        <w:rPr>
          <w:rFonts w:ascii="Arial" w:cs="Arial" w:eastAsia="Arial" w:hAnsi="Arial"/>
          <w:sz w:val="21"/>
          <w:szCs w:val="21"/>
        </w:rPr>
        <w:t xml:space="preserve">5. ABC P&amp;A PNHMR at 101.9% of A-Class average, demonstrating effective attachment per new unit</w:t>
      </w:r>
    </w:p>
    <w:p>
      <w:pPr>
        <w:pStyle w:val="Heading1"/>
        <w:spacing w:before="200" w:after="120"/>
      </w:pPr>
      <w:r>
        <w:rPr>
          <w:rFonts w:ascii="Arial" w:cs="Arial" w:eastAsia="Arial" w:hAnsi="Arial"/>
          <w:b/>
          <w:bCs/>
          <w:color w:val="CC0000"/>
          <w:sz w:val="28"/>
          <w:szCs w:val="28"/>
        </w:rPr>
        <w:t xml:space="preserve">Areas Requiring Attention</w:t>
      </w:r>
    </w:p>
    <w:p>
      <w:pPr>
        <w:spacing w:before="35" w:after="35"/>
        <w:ind w:left="360"/>
      </w:pPr>
      <w:r>
        <w:rPr>
          <w:rFonts w:ascii="Arial" w:cs="Arial" w:eastAsia="Arial" w:hAnsi="Arial"/>
          <w:sz w:val="21"/>
          <w:szCs w:val="21"/>
        </w:rPr>
        <w:t xml:space="preserve">1. ABC P&amp;A Non-Moving Inventory at 31.6%, substandard (above benchmark max of 20.0%)</w:t>
      </w:r>
    </w:p>
    <w:p>
      <w:pPr>
        <w:spacing w:before="35" w:after="35"/>
        <w:ind w:left="360"/>
      </w:pPr>
      <w:r>
        <w:rPr>
          <w:rFonts w:ascii="Arial" w:cs="Arial" w:eastAsia="Arial" w:hAnsi="Arial"/>
          <w:sz w:val="21"/>
          <w:szCs w:val="21"/>
        </w:rPr>
        <w:t xml:space="preserve">2. P&amp;A PTUR declined 6.4% YoY, below improving peer trend</w:t>
      </w:r>
    </w:p>
    <w:p>
      <w:pPr>
        <w:spacing w:before="35" w:after="35"/>
        <w:ind w:left="360"/>
      </w:pPr>
      <w:r>
        <w:rPr>
          <w:rFonts w:ascii="Arial" w:cs="Arial" w:eastAsia="Arial" w:hAnsi="Arial"/>
          <w:sz w:val="21"/>
          <w:szCs w:val="21"/>
        </w:rPr>
        <w:t xml:space="preserve">3. Total P&amp;A Sales essentially flat despite growing customer base</w:t>
      </w:r>
    </w:p>
    <w:p>
      <w:pPr>
        <w:spacing w:before="35" w:after="35"/>
        <w:ind w:left="360"/>
      </w:pPr>
      <w:r>
        <w:rPr>
          <w:rFonts w:ascii="Arial" w:cs="Arial" w:eastAsia="Arial" w:hAnsi="Arial"/>
          <w:sz w:val="21"/>
          <w:szCs w:val="21"/>
        </w:rPr>
        <w:t xml:space="preserve">4. ABC P&amp;A Gross Margin at 31.32%, near the lower end of the benchmark range</w:t>
      </w:r>
    </w:p>
    <w:p>
      <w:pPr>
        <w:pStyle w:val="Heading1"/>
        <w:spacing w:before="200" w:after="120"/>
      </w:pPr>
      <w:r>
        <w:rPr>
          <w:rFonts w:ascii="Arial" w:cs="Arial" w:eastAsia="Arial" w:hAnsi="Arial"/>
          <w:b/>
          <w:bCs/>
          <w:color w:val="1F3864"/>
          <w:sz w:val="28"/>
          <w:szCs w:val="28"/>
        </w:rPr>
        <w:t xml:space="preserve">Strategic Recommendations</w:t>
      </w:r>
    </w:p>
    <w:p>
      <w:pPr>
        <w:pStyle w:val="Heading2"/>
        <w:spacing w:before="120" w:after="60"/>
      </w:pPr>
      <w:r>
        <w:rPr>
          <w:rFonts w:ascii="Arial" w:cs="Arial" w:eastAsia="Arial" w:hAnsi="Arial"/>
          <w:b/>
          <w:bCs/>
          <w:color w:val="2E75B6"/>
          <w:sz w:val="22"/>
          <w:szCs w:val="22"/>
        </w:rPr>
        <w:t xml:space="preserve">Immediate Actions (0-3 months)</w:t>
      </w:r>
    </w:p>
    <w:p>
      <w:pPr>
        <w:spacing w:before="25" w:after="25"/>
        <w:ind w:left="360"/>
      </w:pPr>
      <w:r>
        <w:rPr>
          <w:rFonts w:ascii="Arial" w:cs="Arial" w:eastAsia="Arial" w:hAnsi="Arial"/>
          <w:sz w:val="20"/>
          <w:szCs w:val="20"/>
        </w:rPr>
        <w:t xml:space="preserve">- Non-Moving Inventory Reduction: Review the ABC-Moto PAM Turns Tool to identify non-moving inventory categories. Implement markdown and liquidation strategies to reduce non-moving stock below the 20% benchmark. Refer to the Manage by Numbers lessons on Optimizing P&amp;A and A&amp;L Inventory Performance for guidance.</w:t>
      </w:r>
    </w:p>
    <w:p>
      <w:pPr>
        <w:spacing w:before="25" w:after="25"/>
        <w:ind w:left="360"/>
      </w:pPr>
      <w:r>
        <w:rPr>
          <w:rFonts w:ascii="Arial" w:cs="Arial" w:eastAsia="Arial" w:hAnsi="Arial"/>
          <w:sz w:val="20"/>
          <w:szCs w:val="20"/>
        </w:rPr>
        <w:t xml:space="preserve">- P&amp;A Attachment Rate: Increase focus on P&amp;A attachment at point of sale for both new and used motorcycle transactions to improve PTUR metrics.</w:t>
      </w:r>
    </w:p>
    <w:p>
      <w:pPr>
        <w:spacing w:before="25" w:after="25"/>
        <w:ind w:left="360"/>
      </w:pPr>
      <w:r>
        <w:rPr>
          <w:rFonts w:ascii="Arial" w:cs="Arial" w:eastAsia="Arial" w:hAnsi="Arial"/>
          <w:sz w:val="20"/>
          <w:szCs w:val="20"/>
        </w:rPr>
        <w:t xml:space="preserve">- Margin Enhancement: Evaluate pricing strategies on P&amp;A products to push ABC P&amp;A Gross Margin higher within the benchmark range.</w:t>
      </w:r>
    </w:p>
    <w:p>
      <w:pPr>
        <w:pStyle w:val="Heading2"/>
        <w:spacing w:before="120" w:after="60"/>
      </w:pPr>
      <w:r>
        <w:rPr>
          <w:rFonts w:ascii="Arial" w:cs="Arial" w:eastAsia="Arial" w:hAnsi="Arial"/>
          <w:b/>
          <w:bCs/>
          <w:color w:val="2E75B6"/>
          <w:sz w:val="22"/>
          <w:szCs w:val="22"/>
        </w:rPr>
        <w:t xml:space="preserve">Short-Term Actions (3-6 months)</w:t>
      </w:r>
    </w:p>
    <w:p>
      <w:pPr>
        <w:spacing w:before="25" w:after="25"/>
        <w:ind w:left="360"/>
      </w:pPr>
      <w:r>
        <w:rPr>
          <w:rFonts w:ascii="Arial" w:cs="Arial" w:eastAsia="Arial" w:hAnsi="Arial"/>
          <w:sz w:val="20"/>
          <w:szCs w:val="20"/>
        </w:rPr>
        <w:t xml:space="preserve">- Sales Growth Initiatives: Develop targeted P&amp;A sales campaigns leveraging the growing used motorcycle customer base to drive incremental revenue.</w:t>
      </w:r>
    </w:p>
    <w:p>
      <w:pPr>
        <w:spacing w:before="25" w:after="25"/>
        <w:ind w:left="360"/>
      </w:pPr>
      <w:r>
        <w:rPr>
          <w:rFonts w:ascii="Arial" w:cs="Arial" w:eastAsia="Arial" w:hAnsi="Arial"/>
          <w:sz w:val="20"/>
          <w:szCs w:val="20"/>
        </w:rPr>
        <w:t xml:space="preserve">- Inventory Optimization: Continue strong inventory turn management while ensuring stock breadth remains adequate. Use the PAM Turns Tool to optimize category-level purchasing decisions.</w:t>
      </w:r>
    </w:p>
    <w:p>
      <w:pPr>
        <w:spacing w:before="25" w:after="25"/>
        <w:ind w:left="360"/>
      </w:pPr>
      <w:r>
        <w:rPr>
          <w:rFonts w:ascii="Arial" w:cs="Arial" w:eastAsia="Arial" w:hAnsi="Arial"/>
          <w:sz w:val="20"/>
          <w:szCs w:val="20"/>
        </w:rPr>
        <w:t xml:space="preserve">- Customer Engagement: Implement aftermarket P&amp;A marketing to the expanding used ABC motorcycle customer base.</w:t>
      </w:r>
    </w:p>
    <w:p>
      <w:pPr>
        <w:pStyle w:val="Heading2"/>
        <w:spacing w:before="120" w:after="60"/>
      </w:pPr>
      <w:r>
        <w:rPr>
          <w:rFonts w:ascii="Arial" w:cs="Arial" w:eastAsia="Arial" w:hAnsi="Arial"/>
          <w:b/>
          <w:bCs/>
          <w:color w:val="2E75B6"/>
          <w:sz w:val="22"/>
          <w:szCs w:val="22"/>
        </w:rPr>
        <w:t xml:space="preserve">Long-Term Strategies (6-12 months)</w:t>
      </w:r>
    </w:p>
    <w:p>
      <w:pPr>
        <w:spacing w:before="25" w:after="25"/>
        <w:ind w:left="360"/>
      </w:pPr>
      <w:r>
        <w:rPr>
          <w:rFonts w:ascii="Arial" w:cs="Arial" w:eastAsia="Arial" w:hAnsi="Arial"/>
          <w:sz w:val="20"/>
          <w:szCs w:val="20"/>
        </w:rPr>
        <w:t xml:space="preserve">- Department Growth: Build on the strong inventory management foundation to drive sustainable sales growth while maintaining or improving gross margins.</w:t>
      </w:r>
    </w:p>
    <w:p>
      <w:pPr>
        <w:spacing w:before="25" w:after="25"/>
        <w:ind w:left="360"/>
      </w:pPr>
      <w:r>
        <w:rPr>
          <w:rFonts w:ascii="Arial" w:cs="Arial" w:eastAsia="Arial" w:hAnsi="Arial"/>
          <w:sz w:val="20"/>
          <w:szCs w:val="20"/>
        </w:rPr>
        <w:t xml:space="preserve">- Non-Moving Inventory Discipline: Establish ongoing inventory health monitoring with quarterly reviews to prevent non-moving stock from accumulating above benchmark levels.</w:t>
      </w:r>
    </w:p>
    <w:p>
      <w:pPr>
        <w:pBdr>
          <w:top w:val="single" w:color="2E75B6" w:sz="4" w:space="1"/>
        </w:pBdr>
        <w:spacing w:before="300" w:after="60"/>
      </w:pPr>
    </w:p>
    <w:p>
      <w:pPr>
        <w:spacing w:after="30"/>
      </w:pPr>
      <w:r>
        <w:rPr>
          <w:rFonts w:ascii="Arial" w:cs="Arial" w:eastAsia="Arial" w:hAnsi="Arial"/>
          <w:i/>
          <w:iCs/>
          <w:color w:val="666666"/>
          <w:sz w:val="18"/>
          <w:szCs w:val="18"/>
        </w:rPr>
        <w:t xml:space="preserve">Report prepared based on operational data for the period January 2025 to December 2025</w:t>
      </w:r>
    </w:p>
    <w:p>
      <w:pPr>
        <w:spacing w:after="30"/>
      </w:pPr>
      <w:r>
        <w:rPr>
          <w:rFonts w:ascii="Arial" w:cs="Arial" w:eastAsia="Arial" w:hAnsi="Arial"/>
          <w:i/>
          <w:iCs/>
          <w:color w:val="666666"/>
          <w:sz w:val="18"/>
          <w:szCs w:val="18"/>
        </w:rPr>
        <w:t xml:space="preserve">Analysis conducted using industry benchmarks and A-Class volume class comparisons</w:t>
      </w:r>
    </w:p>
    <w:sectPr>
      <w:headerReference w:type="default" r:id="rId6"/>
      <w:footerReference w:type="default" r:id="rId7"/>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999999"/>
        <w:sz w:val="16"/>
        <w:szCs w:val="16"/>
      </w:rPr>
      <w:t xml:space="preserve">Manage by Numbers Dealer Performance Scorecard</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Arial" w:cs="Arial" w:eastAsia="Arial" w:hAnsi="Arial"/>
        <w:color w:val="999999"/>
        <w:sz w:val="16"/>
        <w:szCs w:val="16"/>
      </w:rPr>
      <w:t xml:space="preserve">DPS - P&amp;A Sales | </w:t>
    </w:r>
    <w:r>
      <w:rPr>
        <w:rFonts w:ascii="Arial" w:cs="Arial" w:eastAsia="Arial" w:hAnsi="Arial"/>
        <w:i/>
        <w:iCs/>
        <w:color w:val="999999"/>
        <w:sz w:val="16"/>
        <w:szCs w:val="16"/>
      </w:rPr>
      <w:t xml:space="preserve">57004TEST ABC-Moto</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240" w:after="120"/>
      <w:outlineLvl w:val="0"/>
    </w:pPr>
    <w:rPr>
      <w:rFonts w:ascii="Arial" w:cs="Arial" w:eastAsia="Arial" w:hAnsi="Arial"/>
      <w:b/>
      <w:bCs/>
      <w:sz w:val="28"/>
      <w:szCs w:val="28"/>
    </w:rPr>
  </w:style>
  <w:style w:type="paragraph" w:styleId="Heading2">
    <w:name w:val="Heading 2"/>
    <w:basedOn w:val="Normal"/>
    <w:next w:val="Normal"/>
    <w:qFormat/>
    <w:pPr>
      <w:spacing w:before="180" w:after="80"/>
      <w:outlineLvl w:val="1"/>
    </w:pPr>
    <w:rPr>
      <w:rFonts w:ascii="Arial" w:cs="Arial" w:eastAsia="Arial" w:hAnsi="Arial"/>
      <w:b/>
      <w:bCs/>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2026-02-21T15:29:29.956Z</dcterms:created>
  <dcterms:modified xsi:type="dcterms:W3CDTF">2026-02-21T15:29:29.957Z</dcterms:modified>
</cp:coreProperties>
</file>

<file path=docProps/custom.xml><?xml version="1.0" encoding="utf-8"?>
<Properties xmlns="http://schemas.openxmlformats.org/officeDocument/2006/custom-properties" xmlns:vt="http://schemas.openxmlformats.org/officeDocument/2006/docPropsVTypes"/>
</file>