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2"/>
          <w:szCs w:val="32"/>
        </w:rPr>
        <w:t xml:space="preserve">A&amp;L Sales Growth Department Performance Analysis</w:t>
      </w:r>
    </w:p>
    <w:p>
      <w:pPr>
        <w:spacing w:after="60"/>
        <w:jc w:val="center"/>
      </w:pPr>
      <w:r>
        <w:rPr>
          <w:rFonts w:ascii="Arial" w:cs="Arial" w:eastAsia="Arial" w:hAnsi="Arial"/>
          <w:b/>
          <w:bCs/>
          <w:sz w:val="24"/>
          <w:szCs w:val="24"/>
        </w:rPr>
        <w:t xml:space="preserve">Dealership Name: 57004TEST ABC-Moto</w:t>
      </w:r>
    </w:p>
    <w:p>
      <w:pPr>
        <w:spacing w:after="60"/>
        <w:jc w:val="center"/>
      </w:pPr>
      <w:r>
        <w:rPr>
          <w:rFonts w:ascii="Arial" w:cs="Arial" w:eastAsia="Arial" w:hAnsi="Arial"/>
          <w:b/>
          <w:bCs/>
          <w:sz w:val="24"/>
          <w:szCs w:val="24"/>
        </w:rPr>
        <w:t xml:space="preserve">Period: January 2025 to December 2025</w:t>
      </w:r>
    </w:p>
    <w:p>
      <w:pPr>
        <w:spacing w:after="200"/>
        <w:jc w:val="center"/>
      </w:pPr>
      <w:r>
        <w:rPr>
          <w:rFonts w:ascii="Arial" w:cs="Arial" w:eastAsia="Arial" w:hAnsi="Arial"/>
          <w:sz w:val="22"/>
          <w:szCs w:val="22"/>
        </w:rPr>
        <w:t xml:space="preserve">Report Date: February 21, 2026</w:t>
      </w:r>
    </w:p>
    <w:p>
      <w:pPr>
        <w:pBdr>
          <w:bottom w:val="single" w:color="2E75B6" w:sz="6" w:space="1"/>
        </w:pBdr>
        <w:spacing w:after="200"/>
      </w:pPr>
    </w:p>
    <w:p>
      <w:pPr>
        <w:pStyle w:val="Heading1"/>
        <w:spacing w:before="200" w:after="120"/>
      </w:pPr>
      <w:r>
        <w:rPr>
          <w:rFonts w:ascii="Arial" w:cs="Arial" w:eastAsia="Arial" w:hAnsi="Arial"/>
          <w:b/>
          <w:bCs/>
          <w:color w:val="1F3864"/>
          <w:sz w:val="28"/>
          <w:szCs w:val="28"/>
        </w:rPr>
        <w:t xml:space="preserve">Executive Summary</w:t>
      </w:r>
    </w:p>
    <w:p>
      <w:pPr>
        <w:spacing w:after="120"/>
      </w:pPr>
      <w:r>
        <w:rPr>
          <w:rFonts w:ascii="Arial" w:cs="Arial" w:eastAsia="Arial" w:hAnsi="Arial"/>
          <w:sz w:val="21"/>
          <w:szCs w:val="21"/>
        </w:rPr>
        <w:t xml:space="preserve">This report analyzes the A&amp;L (Apparel &amp; Licensing) Sales Growth department performance for 57004TEST ABC-Moto for the rolling 12-month period from January 2025 to December 2025. The A&amp;L department has a direct relationship with new and used ABC-Moto motorcycle unit sales, which totaled 385 combined ABC units during the period.</w:t>
      </w:r>
    </w:p>
    <w:p>
      <w:pPr>
        <w:spacing w:after="120"/>
      </w:pPr>
      <w:r>
        <w:rPr>
          <w:rFonts w:ascii="Arial" w:cs="Arial" w:eastAsia="Arial" w:hAnsi="Arial"/>
          <w:sz w:val="21"/>
          <w:szCs w:val="21"/>
        </w:rPr>
        <w:t xml:space="preserve">The A&amp;L department presents a mixed performance profile. Total A&amp;L Sales of $1,213,086.52 showed modest growth of +1.5%, exceeding both the A-Class average (125.1% of class) and the national average (160.7%). The ABC A&amp;L Gross Margin at 46.77% exceeds the benchmark maximum of 44.0%, which is excellent. However, the overall A&amp;L Gross Margin at 30.57% is below the benchmark minimum. Key concerns include below-benchmark seasonal sell-through at 45.21%, below-benchmark inventory turns at 1.12, and the decline in ABC A&amp;L Sales (-9.8%).</w:t>
      </w:r>
    </w:p>
    <w:p>
      <w:pPr>
        <w:pBdr>
          <w:bottom w:val="single" w:color="2E75B6" w:sz="4" w:space="1"/>
        </w:pBdr>
        <w:spacing w:after="200"/>
      </w:pPr>
    </w:p>
    <w:p>
      <w:pPr>
        <w:pStyle w:val="Heading1"/>
        <w:spacing w:before="200" w:after="120"/>
      </w:pPr>
      <w:r>
        <w:rPr>
          <w:rFonts w:ascii="Arial" w:cs="Arial" w:eastAsia="Arial" w:hAnsi="Arial"/>
          <w:b/>
          <w:bCs/>
          <w:color w:val="1F3864"/>
          <w:sz w:val="28"/>
          <w:szCs w:val="28"/>
        </w:rPr>
        <w:t xml:space="preserve">Detailed Performance Analysis</w:t>
      </w:r>
    </w:p>
    <w:p>
      <w:pPr>
        <w:pStyle w:val="Heading2"/>
        <w:spacing w:before="150" w:after="70"/>
      </w:pPr>
      <w:r>
        <w:rPr>
          <w:rFonts w:ascii="Arial" w:cs="Arial" w:eastAsia="Arial" w:hAnsi="Arial"/>
          <w:b/>
          <w:bCs/>
          <w:color w:val="2E75B6"/>
          <w:sz w:val="22"/>
          <w:szCs w:val="22"/>
        </w:rPr>
        <w:t xml:space="preserve">1. Total A&amp;L Sales</w:t>
      </w:r>
    </w:p>
    <w:p>
      <w:pPr>
        <w:spacing w:before="15" w:after="15"/>
        <w:ind w:left="360"/>
      </w:pPr>
      <w:r>
        <w:rPr>
          <w:rFonts w:ascii="Arial" w:cs="Arial" w:eastAsia="Arial" w:hAnsi="Arial"/>
          <w:sz w:val="20"/>
          <w:szCs w:val="20"/>
        </w:rPr>
        <w:t xml:space="preserve">Current Year: $1,213,086.52</w:t>
      </w:r>
    </w:p>
    <w:p>
      <w:pPr>
        <w:spacing w:before="15" w:after="15"/>
        <w:ind w:left="360"/>
      </w:pPr>
      <w:r>
        <w:rPr>
          <w:rFonts w:ascii="Arial" w:cs="Arial" w:eastAsia="Arial" w:hAnsi="Arial"/>
          <w:sz w:val="20"/>
          <w:szCs w:val="20"/>
        </w:rPr>
        <w:t xml:space="preserve">Year-over-Year Change: +1.5% ($17,358.68)</w:t>
      </w:r>
    </w:p>
    <w:p>
      <w:pPr>
        <w:spacing w:before="15" w:after="15"/>
        <w:ind w:left="360"/>
      </w:pPr>
      <w:r>
        <w:rPr>
          <w:rFonts w:ascii="Arial" w:cs="Arial" w:eastAsia="Arial" w:hAnsi="Arial"/>
          <w:sz w:val="20"/>
          <w:szCs w:val="20"/>
        </w:rPr>
        <w:t xml:space="preserve">A-Class Average: 125.1% of benchmark ($969,407.51)</w:t>
      </w:r>
    </w:p>
    <w:p>
      <w:pPr>
        <w:spacing w:before="15" w:after="15"/>
        <w:ind w:left="360"/>
      </w:pPr>
      <w:r>
        <w:rPr>
          <w:rFonts w:ascii="Arial" w:cs="Arial" w:eastAsia="Arial" w:hAnsi="Arial"/>
          <w:sz w:val="20"/>
          <w:szCs w:val="20"/>
        </w:rPr>
        <w:t xml:space="preserve">National Average: 160.7% of benchmark ($755,101.47)</w:t>
      </w:r>
    </w:p>
    <w:p>
      <w:pPr>
        <w:spacing w:before="50" w:after="90"/>
      </w:pPr>
      <w:r>
        <w:rPr>
          <w:rFonts w:ascii="Arial" w:cs="Arial" w:eastAsia="Arial" w:hAnsi="Arial"/>
          <w:sz w:val="20"/>
          <w:szCs w:val="20"/>
        </w:rPr>
        <w:t xml:space="preserve">Total A&amp;L Sales of $1,213,086.52 grew modestly by +1.5% ($17,358.68) year-over-year. At 125.1% of the A-Class average ($969,407.51) and 160.7% of the national average ($755,101.47), the dealership significantly outperforms both benchmarks. The A-Class average declined by -$3,557.46, while the national average grew by $16,350.35, placing the dealership's modest growth in a favorable context relative to the peer group. The relationship between motorcycle unit sales and A&amp;L purchases is reflected in the dealership's strong position, supported by the combined new and used ABC unit volume of 385.</w:t>
      </w:r>
    </w:p>
    <w:p>
      <w:pPr>
        <w:pStyle w:val="Heading2"/>
        <w:spacing w:before="150" w:after="70"/>
      </w:pPr>
      <w:r>
        <w:rPr>
          <w:rFonts w:ascii="Arial" w:cs="Arial" w:eastAsia="Arial" w:hAnsi="Arial"/>
          <w:b/>
          <w:bCs/>
          <w:color w:val="2E75B6"/>
          <w:sz w:val="22"/>
          <w:szCs w:val="22"/>
        </w:rPr>
        <w:t xml:space="preserve">2. Apparel &amp; Licensing Gross Margin %</w:t>
      </w:r>
    </w:p>
    <w:p>
      <w:pPr>
        <w:spacing w:before="15" w:after="15"/>
        <w:ind w:left="360"/>
      </w:pPr>
      <w:r>
        <w:rPr>
          <w:rFonts w:ascii="Arial" w:cs="Arial" w:eastAsia="Arial" w:hAnsi="Arial"/>
          <w:sz w:val="20"/>
          <w:szCs w:val="20"/>
        </w:rPr>
        <w:t xml:space="preserve">Current Year: 30.57%</w:t>
      </w:r>
    </w:p>
    <w:p>
      <w:pPr>
        <w:spacing w:before="15" w:after="15"/>
        <w:ind w:left="360"/>
      </w:pPr>
      <w:r>
        <w:rPr>
          <w:rFonts w:ascii="Arial" w:cs="Arial" w:eastAsia="Arial" w:hAnsi="Arial"/>
          <w:sz w:val="20"/>
          <w:szCs w:val="20"/>
        </w:rPr>
        <w:t xml:space="preserve">Year-over-Year Change: +0.6% (0.17 pp)</w:t>
      </w:r>
    </w:p>
    <w:p>
      <w:pPr>
        <w:spacing w:before="15" w:after="15"/>
        <w:ind w:left="360"/>
      </w:pPr>
      <w:r>
        <w:rPr>
          <w:rFonts w:ascii="Arial" w:cs="Arial" w:eastAsia="Arial" w:hAnsi="Arial"/>
          <w:sz w:val="20"/>
          <w:szCs w:val="20"/>
        </w:rPr>
        <w:t xml:space="preserve">A-Class Average: 87.4% of benchmark (34.97%)</w:t>
      </w:r>
    </w:p>
    <w:p>
      <w:pPr>
        <w:spacing w:before="15" w:after="15"/>
        <w:ind w:left="360"/>
      </w:pPr>
      <w:r>
        <w:rPr>
          <w:rFonts w:ascii="Arial" w:cs="Arial" w:eastAsia="Arial" w:hAnsi="Arial"/>
          <w:sz w:val="20"/>
          <w:szCs w:val="20"/>
        </w:rPr>
        <w:t xml:space="preserve">National Average: 86.1% of benchmark (35.51%)</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Substandard (below benchmark minimum)</w:t>
      </w:r>
    </w:p>
    <w:p>
      <w:pPr>
        <w:spacing w:before="50" w:after="90"/>
      </w:pPr>
      <w:r>
        <w:rPr>
          <w:rFonts w:ascii="Arial" w:cs="Arial" w:eastAsia="Arial" w:hAnsi="Arial"/>
          <w:sz w:val="20"/>
          <w:szCs w:val="20"/>
        </w:rPr>
        <w:t xml:space="preserve">The overall A&amp;L Gross Margin of 30.57% remained relatively stable with a slight improvement of 0.17 percentage points year-over-year. At 87.4% of the A-Class average (34.97%) and 86.1% of the national average (35.51%), the margin is below both peer benchmarks and falls below the benchmark minimum of 31.0%. This suggests the dealership carries a higher proportion of lower-margin non-ABC apparel products or is experiencing pricing pressure on overall A&amp;L products.</w:t>
      </w:r>
    </w:p>
    <w:p>
      <w:pPr>
        <w:pStyle w:val="Heading2"/>
        <w:spacing w:before="150" w:after="70"/>
      </w:pPr>
      <w:r>
        <w:rPr>
          <w:rFonts w:ascii="Arial" w:cs="Arial" w:eastAsia="Arial" w:hAnsi="Arial"/>
          <w:b/>
          <w:bCs/>
          <w:color w:val="2E75B6"/>
          <w:sz w:val="22"/>
          <w:szCs w:val="22"/>
        </w:rPr>
        <w:t xml:space="preserve">3. Total Sales - ABC Apparel &amp; Licensing</w:t>
      </w:r>
    </w:p>
    <w:p>
      <w:pPr>
        <w:spacing w:before="15" w:after="15"/>
        <w:ind w:left="360"/>
      </w:pPr>
      <w:r>
        <w:rPr>
          <w:rFonts w:ascii="Arial" w:cs="Arial" w:eastAsia="Arial" w:hAnsi="Arial"/>
          <w:sz w:val="20"/>
          <w:szCs w:val="20"/>
        </w:rPr>
        <w:t xml:space="preserve">Current Year: $475,921.95</w:t>
      </w:r>
    </w:p>
    <w:p>
      <w:pPr>
        <w:spacing w:before="15" w:after="15"/>
        <w:ind w:left="360"/>
      </w:pPr>
      <w:r>
        <w:rPr>
          <w:rFonts w:ascii="Arial" w:cs="Arial" w:eastAsia="Arial" w:hAnsi="Arial"/>
          <w:sz w:val="20"/>
          <w:szCs w:val="20"/>
        </w:rPr>
        <w:t xml:space="preserve">Year-over-Year Change: -9.8% (-$51,774.71)</w:t>
      </w:r>
    </w:p>
    <w:p>
      <w:pPr>
        <w:spacing w:before="15" w:after="15"/>
        <w:ind w:left="360"/>
      </w:pPr>
      <w:r>
        <w:rPr>
          <w:rFonts w:ascii="Arial" w:cs="Arial" w:eastAsia="Arial" w:hAnsi="Arial"/>
          <w:sz w:val="20"/>
          <w:szCs w:val="20"/>
        </w:rPr>
        <w:t xml:space="preserve">A-Class Average: 89.4% of benchmark ($532,473.78)</w:t>
      </w:r>
    </w:p>
    <w:p>
      <w:pPr>
        <w:spacing w:before="15" w:after="15"/>
        <w:ind w:left="360"/>
      </w:pPr>
      <w:r>
        <w:rPr>
          <w:rFonts w:ascii="Arial" w:cs="Arial" w:eastAsia="Arial" w:hAnsi="Arial"/>
          <w:sz w:val="20"/>
          <w:szCs w:val="20"/>
        </w:rPr>
        <w:t xml:space="preserve">National Average: 131.1% of benchmark ($362,926.91)</w:t>
      </w:r>
    </w:p>
    <w:p>
      <w:pPr>
        <w:spacing w:before="50" w:after="90"/>
      </w:pPr>
      <w:r>
        <w:rPr>
          <w:rFonts w:ascii="Arial" w:cs="Arial" w:eastAsia="Arial" w:hAnsi="Arial"/>
          <w:sz w:val="20"/>
          <w:szCs w:val="20"/>
        </w:rPr>
        <w:t xml:space="preserve">ABC A&amp;L Sales of $475,921.95 declined by -9.8% (-$51,774.71) year-over-year. At 89.4% of the A-Class average and 131.1% of the national average, the dealership still exceeds the national average but trails the A-Class peer group. The decline in ABC-specific A&amp;L sales is concerning and may relate to the modest decline in new ABC unit sales and the broader market challenges facing ABC-Moto branded merchandise in the Canadian market.</w:t>
      </w:r>
    </w:p>
    <w:p>
      <w:pPr>
        <w:pStyle w:val="Heading2"/>
        <w:spacing w:before="150" w:after="70"/>
      </w:pPr>
      <w:r>
        <w:rPr>
          <w:rFonts w:ascii="Arial" w:cs="Arial" w:eastAsia="Arial" w:hAnsi="Arial"/>
          <w:b/>
          <w:bCs/>
          <w:color w:val="2E75B6"/>
          <w:sz w:val="22"/>
          <w:szCs w:val="22"/>
        </w:rPr>
        <w:t xml:space="preserve">4. ABC Apparel &amp; Licensing Gross Margin %</w:t>
      </w:r>
    </w:p>
    <w:p>
      <w:pPr>
        <w:spacing w:before="15" w:after="15"/>
        <w:ind w:left="360"/>
      </w:pPr>
      <w:r>
        <w:rPr>
          <w:rFonts w:ascii="Arial" w:cs="Arial" w:eastAsia="Arial" w:hAnsi="Arial"/>
          <w:sz w:val="20"/>
          <w:szCs w:val="20"/>
        </w:rPr>
        <w:t xml:space="preserve">Current Year: 46.77%</w:t>
      </w:r>
    </w:p>
    <w:p>
      <w:pPr>
        <w:spacing w:before="15" w:after="15"/>
        <w:ind w:left="360"/>
      </w:pPr>
      <w:r>
        <w:rPr>
          <w:rFonts w:ascii="Arial" w:cs="Arial" w:eastAsia="Arial" w:hAnsi="Arial"/>
          <w:sz w:val="20"/>
          <w:szCs w:val="20"/>
        </w:rPr>
        <w:t xml:space="preserve">Year-over-Year Change: -5.7% (-2.85 pp)</w:t>
      </w:r>
    </w:p>
    <w:p>
      <w:pPr>
        <w:spacing w:before="15" w:after="15"/>
        <w:ind w:left="360"/>
      </w:pPr>
      <w:r>
        <w:rPr>
          <w:rFonts w:ascii="Arial" w:cs="Arial" w:eastAsia="Arial" w:hAnsi="Arial"/>
          <w:sz w:val="20"/>
          <w:szCs w:val="20"/>
        </w:rPr>
        <w:t xml:space="preserve">A-Class Average: 91.0% of benchmark (51.40%)</w:t>
      </w:r>
    </w:p>
    <w:p>
      <w:pPr>
        <w:spacing w:before="15" w:after="15"/>
        <w:ind w:left="360"/>
      </w:pPr>
      <w:r>
        <w:rPr>
          <w:rFonts w:ascii="Arial" w:cs="Arial" w:eastAsia="Arial" w:hAnsi="Arial"/>
          <w:sz w:val="20"/>
          <w:szCs w:val="20"/>
        </w:rPr>
        <w:t xml:space="preserve">National Average: 91.1% of benchmark (51.36%)</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006400"/>
          <w:sz w:val="20"/>
          <w:szCs w:val="20"/>
        </w:rPr>
        <w:t xml:space="preserve">Excellent (above benchmark maximum)</w:t>
      </w:r>
    </w:p>
    <w:p>
      <w:pPr>
        <w:spacing w:before="50" w:after="90"/>
      </w:pPr>
      <w:r>
        <w:rPr>
          <w:rFonts w:ascii="Arial" w:cs="Arial" w:eastAsia="Arial" w:hAnsi="Arial"/>
          <w:sz w:val="20"/>
          <w:szCs w:val="20"/>
        </w:rPr>
        <w:t xml:space="preserve">ABC A&amp;L Gross Margin of 46.77% is excellent, exceeding the benchmark maximum of 44.0%. However, it declined by 2.85 percentage points year-over-year. At 91.0% of the A-Class average (51.40%) and 91.1% of the national average (51.36%), the margin is slightly below both peer levels but remains above the benchmark maximum. The contrast between the excellent ABC margin and the below-benchmark overall margin indicates that non-ABC products are the primary driver of margin compression.</w:t>
      </w:r>
    </w:p>
    <w:p>
      <w:pPr>
        <w:pStyle w:val="Heading2"/>
        <w:spacing w:before="150" w:after="70"/>
      </w:pPr>
      <w:r>
        <w:rPr>
          <w:rFonts w:ascii="Arial" w:cs="Arial" w:eastAsia="Arial" w:hAnsi="Arial"/>
          <w:b/>
          <w:bCs/>
          <w:color w:val="2E75B6"/>
          <w:sz w:val="22"/>
          <w:szCs w:val="22"/>
        </w:rPr>
        <w:t xml:space="preserve">5. Apparl. &amp; Licens. Net Sales per Total Units Retailed (PTUR)</w:t>
      </w:r>
    </w:p>
    <w:p>
      <w:pPr>
        <w:spacing w:before="15" w:after="15"/>
        <w:ind w:left="360"/>
      </w:pPr>
      <w:r>
        <w:rPr>
          <w:rFonts w:ascii="Arial" w:cs="Arial" w:eastAsia="Arial" w:hAnsi="Arial"/>
          <w:sz w:val="20"/>
          <w:szCs w:val="20"/>
        </w:rPr>
        <w:t xml:space="preserve">Current Year: $3,025.15</w:t>
      </w:r>
    </w:p>
    <w:p>
      <w:pPr>
        <w:spacing w:before="15" w:after="15"/>
        <w:ind w:left="360"/>
      </w:pPr>
      <w:r>
        <w:rPr>
          <w:rFonts w:ascii="Arial" w:cs="Arial" w:eastAsia="Arial" w:hAnsi="Arial"/>
          <w:sz w:val="20"/>
          <w:szCs w:val="20"/>
        </w:rPr>
        <w:t xml:space="preserve">Year-over-Year Change: -5.4% (-$171.98)</w:t>
      </w:r>
    </w:p>
    <w:p>
      <w:pPr>
        <w:spacing w:before="15" w:after="15"/>
        <w:ind w:left="360"/>
      </w:pPr>
      <w:r>
        <w:rPr>
          <w:rFonts w:ascii="Arial" w:cs="Arial" w:eastAsia="Arial" w:hAnsi="Arial"/>
          <w:sz w:val="20"/>
          <w:szCs w:val="20"/>
        </w:rPr>
        <w:t xml:space="preserve">A-Class Average: 135.6% of benchmark ($2,230.45)</w:t>
      </w:r>
    </w:p>
    <w:p>
      <w:pPr>
        <w:spacing w:before="15" w:after="15"/>
        <w:ind w:left="360"/>
      </w:pPr>
      <w:r>
        <w:rPr>
          <w:rFonts w:ascii="Arial" w:cs="Arial" w:eastAsia="Arial" w:hAnsi="Arial"/>
          <w:sz w:val="20"/>
          <w:szCs w:val="20"/>
        </w:rPr>
        <w:t xml:space="preserve">National Average: 113.4% of benchmark ($2,667.28)</w:t>
      </w:r>
    </w:p>
    <w:p>
      <w:pPr>
        <w:spacing w:before="50" w:after="90"/>
      </w:pPr>
      <w:r>
        <w:rPr>
          <w:rFonts w:ascii="Arial" w:cs="Arial" w:eastAsia="Arial" w:hAnsi="Arial"/>
          <w:sz w:val="20"/>
          <w:szCs w:val="20"/>
        </w:rPr>
        <w:t xml:space="preserve">A&amp;L PTUR of $3,025.15 declined by -5.4% (-$171.98) year-over-year. At 135.6% of the A-Class average ($2,230.45) and 113.4% of the national average ($2,667.28), the dealership exceeds both benchmarks. The decline in PTUR is partly attributable to the increased total unit base (driven by strong used vehicle sales growth), which dilutes the per-unit A&amp;L attachment metric.</w:t>
      </w:r>
    </w:p>
    <w:p>
      <w:pPr>
        <w:pStyle w:val="Heading2"/>
        <w:spacing w:before="150" w:after="70"/>
      </w:pPr>
      <w:r>
        <w:rPr>
          <w:rFonts w:ascii="Arial" w:cs="Arial" w:eastAsia="Arial" w:hAnsi="Arial"/>
          <w:b/>
          <w:bCs/>
          <w:color w:val="2E75B6"/>
          <w:sz w:val="22"/>
          <w:szCs w:val="22"/>
        </w:rPr>
        <w:t xml:space="preserve">6. ABC A&amp;L Net Sales per New ABC MC Retailed (PNHMR)</w:t>
      </w:r>
    </w:p>
    <w:p>
      <w:pPr>
        <w:spacing w:before="15" w:after="15"/>
        <w:ind w:left="360"/>
      </w:pPr>
      <w:r>
        <w:rPr>
          <w:rFonts w:ascii="Arial" w:cs="Arial" w:eastAsia="Arial" w:hAnsi="Arial"/>
          <w:sz w:val="20"/>
          <w:szCs w:val="20"/>
        </w:rPr>
        <w:t xml:space="preserve">Current Year: $2,051.39</w:t>
      </w:r>
    </w:p>
    <w:p>
      <w:pPr>
        <w:spacing w:before="15" w:after="15"/>
        <w:ind w:left="360"/>
      </w:pPr>
      <w:r>
        <w:rPr>
          <w:rFonts w:ascii="Arial" w:cs="Arial" w:eastAsia="Arial" w:hAnsi="Arial"/>
          <w:sz w:val="20"/>
          <w:szCs w:val="20"/>
        </w:rPr>
        <w:t xml:space="preserve">Year-over-Year Change: -7.5% (-$165.83)</w:t>
      </w:r>
    </w:p>
    <w:p>
      <w:pPr>
        <w:spacing w:before="15" w:after="15"/>
        <w:ind w:left="360"/>
      </w:pPr>
      <w:r>
        <w:rPr>
          <w:rFonts w:ascii="Arial" w:cs="Arial" w:eastAsia="Arial" w:hAnsi="Arial"/>
          <w:sz w:val="20"/>
          <w:szCs w:val="20"/>
        </w:rPr>
        <w:t xml:space="preserve">A-Class Average: 83.2% of benchmark ($2,465.16)</w:t>
      </w:r>
    </w:p>
    <w:p>
      <w:pPr>
        <w:spacing w:before="15" w:after="15"/>
        <w:ind w:left="360"/>
      </w:pPr>
      <w:r>
        <w:rPr>
          <w:rFonts w:ascii="Arial" w:cs="Arial" w:eastAsia="Arial" w:hAnsi="Arial"/>
          <w:sz w:val="20"/>
          <w:szCs w:val="20"/>
        </w:rPr>
        <w:t xml:space="preserve">National Average: 76.6% of benchmark ($2,679.20)</w:t>
      </w:r>
    </w:p>
    <w:p>
      <w:pPr>
        <w:spacing w:before="50" w:after="90"/>
      </w:pPr>
      <w:r>
        <w:rPr>
          <w:rFonts w:ascii="Arial" w:cs="Arial" w:eastAsia="Arial" w:hAnsi="Arial"/>
          <w:sz w:val="20"/>
          <w:szCs w:val="20"/>
        </w:rPr>
        <w:t xml:space="preserve">ABC A&amp;L PNHMR of $2,051.39 declined by -7.5% (-$165.83) year-over-year. At 83.2% of the A-Class average ($2,465.16) and 76.6% of the national average ($2,679.20), the dealership is below both peer benchmarks. The decline reflects reduced ABC A&amp;L attachment per new motorcycle sold, suggesting an opportunity to improve point-of-sale A&amp;L presentation during the new motorcycle purchase process.</w:t>
      </w:r>
    </w:p>
    <w:p>
      <w:pPr>
        <w:pStyle w:val="Heading2"/>
        <w:spacing w:before="150" w:after="70"/>
      </w:pPr>
      <w:r>
        <w:rPr>
          <w:rFonts w:ascii="Arial" w:cs="Arial" w:eastAsia="Arial" w:hAnsi="Arial"/>
          <w:b/>
          <w:bCs/>
          <w:color w:val="2E75B6"/>
          <w:sz w:val="22"/>
          <w:szCs w:val="22"/>
        </w:rPr>
        <w:t xml:space="preserve">7. ABC A&amp;L Seasonal Product Sell-through %</w:t>
      </w:r>
    </w:p>
    <w:p>
      <w:pPr>
        <w:spacing w:before="15" w:after="15"/>
        <w:ind w:left="360"/>
      </w:pPr>
      <w:r>
        <w:rPr>
          <w:rFonts w:ascii="Arial" w:cs="Arial" w:eastAsia="Arial" w:hAnsi="Arial"/>
          <w:sz w:val="20"/>
          <w:szCs w:val="20"/>
        </w:rPr>
        <w:t xml:space="preserve">Current Year: 45.21%</w:t>
      </w:r>
    </w:p>
    <w:p>
      <w:pPr>
        <w:spacing w:before="15" w:after="15"/>
        <w:ind w:left="360"/>
      </w:pPr>
      <w:r>
        <w:rPr>
          <w:rFonts w:ascii="Arial" w:cs="Arial" w:eastAsia="Arial" w:hAnsi="Arial"/>
          <w:sz w:val="20"/>
          <w:szCs w:val="20"/>
        </w:rPr>
        <w:t xml:space="preserve">Year-over-Year Change: +0.9% (0.41 pp)</w:t>
      </w:r>
    </w:p>
    <w:p>
      <w:pPr>
        <w:spacing w:before="15" w:after="15"/>
        <w:ind w:left="360"/>
      </w:pPr>
      <w:r>
        <w:rPr>
          <w:rFonts w:ascii="Arial" w:cs="Arial" w:eastAsia="Arial" w:hAnsi="Arial"/>
          <w:sz w:val="20"/>
          <w:szCs w:val="20"/>
        </w:rPr>
        <w:t xml:space="preserve">A-Class Average: 92.2% of benchmark (49.04%)</w:t>
      </w:r>
    </w:p>
    <w:p>
      <w:pPr>
        <w:spacing w:before="15" w:after="15"/>
        <w:ind w:left="360"/>
      </w:pPr>
      <w:r>
        <w:rPr>
          <w:rFonts w:ascii="Arial" w:cs="Arial" w:eastAsia="Arial" w:hAnsi="Arial"/>
          <w:sz w:val="20"/>
          <w:szCs w:val="20"/>
        </w:rPr>
        <w:t xml:space="preserve">National Average: 95.6% of benchmark (47.27%)</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Substandard (below benchmark minimum)</w:t>
      </w:r>
    </w:p>
    <w:p>
      <w:pPr>
        <w:spacing w:before="50" w:after="90"/>
      </w:pPr>
      <w:r>
        <w:rPr>
          <w:rFonts w:ascii="Arial" w:cs="Arial" w:eastAsia="Arial" w:hAnsi="Arial"/>
          <w:sz w:val="20"/>
          <w:szCs w:val="20"/>
        </w:rPr>
        <w:t xml:space="preserve">Seasonal Product Sell-through of 45.21% improved slightly by 0.41 percentage points year-over-year. At 92.2% of the A-Class average (49.04%) and 95.6% of the national average (47.27%), the dealership is slightly below both peer levels. Below the benchmark minimum of 65.0%, seasonal sell-through needs improvement to reduce end-of-season markdowns and improve inventory freshness. The Canadian market conditions, including shorter riding seasons and consumer spending caution, may contribute to slower seasonal product turns.</w:t>
      </w:r>
    </w:p>
    <w:p>
      <w:pPr>
        <w:pStyle w:val="Heading2"/>
        <w:spacing w:before="150" w:after="70"/>
      </w:pPr>
      <w:r>
        <w:rPr>
          <w:rFonts w:ascii="Arial" w:cs="Arial" w:eastAsia="Arial" w:hAnsi="Arial"/>
          <w:b/>
          <w:bCs/>
          <w:color w:val="2E75B6"/>
          <w:sz w:val="22"/>
          <w:szCs w:val="22"/>
        </w:rPr>
        <w:t xml:space="preserve">8. ABC A&amp;L Inventory Turns</w:t>
      </w:r>
    </w:p>
    <w:p>
      <w:pPr>
        <w:spacing w:before="15" w:after="15"/>
        <w:ind w:left="360"/>
      </w:pPr>
      <w:r>
        <w:rPr>
          <w:rFonts w:ascii="Arial" w:cs="Arial" w:eastAsia="Arial" w:hAnsi="Arial"/>
          <w:sz w:val="20"/>
          <w:szCs w:val="20"/>
        </w:rPr>
        <w:t xml:space="preserve">Current Year: 1.12</w:t>
      </w:r>
    </w:p>
    <w:p>
      <w:pPr>
        <w:spacing w:before="15" w:after="15"/>
        <w:ind w:left="360"/>
      </w:pPr>
      <w:r>
        <w:rPr>
          <w:rFonts w:ascii="Arial" w:cs="Arial" w:eastAsia="Arial" w:hAnsi="Arial"/>
          <w:sz w:val="20"/>
          <w:szCs w:val="20"/>
        </w:rPr>
        <w:t xml:space="preserve">Year-over-Year Change: -15.3% (-0.20)</w:t>
      </w:r>
    </w:p>
    <w:p>
      <w:pPr>
        <w:spacing w:before="15" w:after="15"/>
        <w:ind w:left="360"/>
      </w:pPr>
      <w:r>
        <w:rPr>
          <w:rFonts w:ascii="Arial" w:cs="Arial" w:eastAsia="Arial" w:hAnsi="Arial"/>
          <w:sz w:val="20"/>
          <w:szCs w:val="20"/>
        </w:rPr>
        <w:t xml:space="preserve">A-Class Average: 104.1% of benchmark (1.08)</w:t>
      </w:r>
    </w:p>
    <w:p>
      <w:pPr>
        <w:spacing w:before="15" w:after="15"/>
        <w:ind w:left="360"/>
      </w:pPr>
      <w:r>
        <w:rPr>
          <w:rFonts w:ascii="Arial" w:cs="Arial" w:eastAsia="Arial" w:hAnsi="Arial"/>
          <w:sz w:val="20"/>
          <w:szCs w:val="20"/>
        </w:rPr>
        <w:t xml:space="preserve">National Average: 116.3% of benchmark (0.97)</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Substandard (below benchmark minimum)</w:t>
      </w:r>
    </w:p>
    <w:p>
      <w:pPr>
        <w:spacing w:before="50" w:after="90"/>
      </w:pPr>
      <w:r>
        <w:rPr>
          <w:rFonts w:ascii="Arial" w:cs="Arial" w:eastAsia="Arial" w:hAnsi="Arial"/>
          <w:sz w:val="20"/>
          <w:szCs w:val="20"/>
        </w:rPr>
        <w:t xml:space="preserve">ABC A&amp;L Inventory Turns of 1.12 declined by 0.20 (-15.3%) year-over-year. At 104.1% of the A-Class average (1.08) and 116.3% of the national average (0.97), the dealership is slightly above both peer levels. However, at 1.12, the turns are below the benchmark minimum of 2.5, which is assessed as Substandard. The year-over-year decline is concerning. The dealership should review the ABC-Moto PAM Turns Tool to determine the A&amp;L categories that require optimization and refer to the Manage by Numbers lessons on Optimizing P&amp;A and A&amp;L Inventory Performance for guidance on improving inventory turn performance. The relatively slower turns compared to the P&amp;A department suggest potential overstocking in certain A&amp;L categories.</w:t>
      </w:r>
    </w:p>
    <w:p>
      <w:pPr>
        <w:pStyle w:val="Heading2"/>
        <w:spacing w:before="150" w:after="70"/>
      </w:pPr>
      <w:r>
        <w:rPr>
          <w:rFonts w:ascii="Arial" w:cs="Arial" w:eastAsia="Arial" w:hAnsi="Arial"/>
          <w:b/>
          <w:bCs/>
          <w:color w:val="2E75B6"/>
          <w:sz w:val="22"/>
          <w:szCs w:val="22"/>
        </w:rPr>
        <w:t xml:space="preserve">9. ABC A&amp;L Non-Moving Inventory %</w:t>
      </w:r>
    </w:p>
    <w:p>
      <w:pPr>
        <w:spacing w:before="15" w:after="15"/>
        <w:ind w:left="360"/>
      </w:pPr>
      <w:r>
        <w:rPr>
          <w:rFonts w:ascii="Arial" w:cs="Arial" w:eastAsia="Arial" w:hAnsi="Arial"/>
          <w:sz w:val="20"/>
          <w:szCs w:val="20"/>
        </w:rPr>
        <w:t xml:space="preserve">Current Year: 18.31%</w:t>
      </w:r>
    </w:p>
    <w:p>
      <w:pPr>
        <w:spacing w:before="15" w:after="15"/>
        <w:ind w:left="360"/>
      </w:pPr>
      <w:r>
        <w:rPr>
          <w:rFonts w:ascii="Arial" w:cs="Arial" w:eastAsia="Arial" w:hAnsi="Arial"/>
          <w:sz w:val="20"/>
          <w:szCs w:val="20"/>
        </w:rPr>
        <w:t xml:space="preserve">Year-over-Year Change: +0.0% (0.00 pp)</w:t>
      </w:r>
    </w:p>
    <w:p>
      <w:pPr>
        <w:spacing w:before="15" w:after="15"/>
        <w:ind w:left="360"/>
      </w:pPr>
      <w:r>
        <w:rPr>
          <w:rFonts w:ascii="Arial" w:cs="Arial" w:eastAsia="Arial" w:hAnsi="Arial"/>
          <w:sz w:val="20"/>
          <w:szCs w:val="20"/>
        </w:rPr>
        <w:t xml:space="preserve">A-Class Average: 55.4% of benchmark (33.06%)</w:t>
      </w:r>
    </w:p>
    <w:p>
      <w:pPr>
        <w:spacing w:before="15" w:after="15"/>
        <w:ind w:left="360"/>
      </w:pPr>
      <w:r>
        <w:rPr>
          <w:rFonts w:ascii="Arial" w:cs="Arial" w:eastAsia="Arial" w:hAnsi="Arial"/>
          <w:sz w:val="20"/>
          <w:szCs w:val="20"/>
        </w:rPr>
        <w:t xml:space="preserve">National Average: 53.1% of benchmark (34.48%)</w:t>
      </w:r>
    </w:p>
    <w:p>
      <w:pPr>
        <w:spacing w:before="30" w:after="30"/>
        <w:ind w:left="360"/>
      </w:pPr>
      <w:r>
        <w:rPr>
          <w:rFonts w:ascii="Arial" w:cs="Arial" w:eastAsia="Arial" w:hAnsi="Arial"/>
          <w:b/>
          <w:bCs/>
          <w:sz w:val="20"/>
          <w:szCs w:val="20"/>
        </w:rPr>
        <w:t xml:space="preserve">Assessment: </w:t>
      </w:r>
      <w:r>
        <w:rPr>
          <w:rFonts w:ascii="Arial" w:cs="Arial" w:eastAsia="Arial" w:hAnsi="Arial"/>
          <w:b/>
          <w:bCs/>
          <w:color w:val="2E75B6"/>
          <w:sz w:val="20"/>
          <w:szCs w:val="20"/>
        </w:rPr>
        <w:t xml:space="preserve">Good (within benchmark range)</w:t>
      </w:r>
    </w:p>
    <w:p>
      <w:pPr>
        <w:spacing w:before="50" w:after="90"/>
      </w:pPr>
      <w:r>
        <w:rPr>
          <w:rFonts w:ascii="Arial" w:cs="Arial" w:eastAsia="Arial" w:hAnsi="Arial"/>
          <w:sz w:val="20"/>
          <w:szCs w:val="20"/>
        </w:rPr>
        <w:t xml:space="preserve">ABC A&amp;L Non-Moving Inventory at 18.31% remained unchanged year-over-year. At 55.4% of the A-Class average (33.06%) and 53.1% of the national average (34.48%), the dealership performs substantially better than both peer groups in managing non-moving inventory. At 18.31%, the non-moving inventory is within the good benchmark range (15.0% to 20.0%), demonstrating effective inventory management discipline. This is a positive differentiator for the department.</w:t>
      </w:r>
    </w:p>
    <w:p>
      <w:pPr>
        <w:pStyle w:val="Heading2"/>
        <w:spacing w:before="180" w:after="80"/>
      </w:pPr>
      <w:r>
        <w:rPr>
          <w:rFonts w:ascii="Arial" w:cs="Arial" w:eastAsia="Arial" w:hAnsi="Arial"/>
          <w:b/>
          <w:bCs/>
          <w:color w:val="2E75B6"/>
          <w:sz w:val="24"/>
          <w:szCs w:val="24"/>
        </w:rPr>
        <w:t xml:space="preserve">Impact of New and Used ABC Unit Sales on A&amp;L Performance</w:t>
      </w:r>
    </w:p>
    <w:p>
      <w:pPr>
        <w:spacing w:after="100"/>
      </w:pPr>
      <w:r>
        <w:rPr>
          <w:rFonts w:ascii="Arial" w:cs="Arial" w:eastAsia="Arial" w:hAnsi="Arial"/>
          <w:sz w:val="20"/>
          <w:szCs w:val="20"/>
        </w:rPr>
        <w:t xml:space="preserve">The A&amp;L department's performance is directly linked to motorcycle unit sales volume. The dealership retailed 232 new ABC units (-2.5%) and 153 used ABC units (+26.4%) during the period. The slight decline in new ABC units has contributed to the reduction in ABC A&amp;L PNHMR, as fewer new motorcycle buyers means fewer immediate A&amp;L purchase opportunities at the point of sale. However, the growing used motorcycle customer base provides ongoing A&amp;L revenue opportunities. The modest growth in total A&amp;L sales despite declining ABC-specific A&amp;L sales suggests the dealership is generating more non-ABC apparel revenue, which carries lower margins. Refocusing A&amp;L sales efforts on ABC-branded products would help improve both the top line and margin profile.</w:t>
      </w:r>
    </w:p>
    <w:p>
      <w:r>
        <w:br w:type="page"/>
      </w:r>
    </w:p>
    <w:p>
      <w:pPr>
        <w:pStyle w:val="Heading1"/>
        <w:spacing w:before="200" w:after="120"/>
      </w:pPr>
      <w:r>
        <w:rPr>
          <w:rFonts w:ascii="Arial" w:cs="Arial" w:eastAsia="Arial" w:hAnsi="Arial"/>
          <w:b/>
          <w:bCs/>
          <w:color w:val="1F3864"/>
          <w:sz w:val="28"/>
          <w:szCs w:val="28"/>
        </w:rPr>
        <w:t xml:space="preserve">Performance Score Assessment</w:t>
      </w:r>
    </w:p>
    <w:p>
      <w:pPr>
        <w:pStyle w:val="Heading2"/>
        <w:spacing w:before="130" w:after="60"/>
      </w:pPr>
      <w:r>
        <w:rPr>
          <w:rFonts w:ascii="Arial" w:cs="Arial" w:eastAsia="Arial" w:hAnsi="Arial"/>
          <w:b/>
          <w:bCs/>
          <w:color w:val="2E75B6"/>
          <w:sz w:val="22"/>
          <w:szCs w:val="22"/>
        </w:rPr>
        <w:t xml:space="preserve">1. Departmental Sales Performance (30%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55/100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Total A&amp;L Sales grew modestly at +1.5% YoY</w:t>
      </w:r>
    </w:p>
    <w:p>
      <w:pPr>
        <w:spacing w:before="10" w:after="10"/>
        <w:ind w:left="360"/>
      </w:pPr>
      <w:r>
        <w:rPr>
          <w:rFonts w:ascii="Arial" w:cs="Arial" w:eastAsia="Arial" w:hAnsi="Arial"/>
          <w:sz w:val="19"/>
          <w:szCs w:val="19"/>
        </w:rPr>
        <w:t xml:space="preserve">- ABC A&amp;L Sales declined -9.8% YoY, a notable concern</w:t>
      </w:r>
    </w:p>
    <w:p>
      <w:pPr>
        <w:spacing w:before="10" w:after="10"/>
        <w:ind w:left="360"/>
      </w:pPr>
      <w:r>
        <w:rPr>
          <w:rFonts w:ascii="Arial" w:cs="Arial" w:eastAsia="Arial" w:hAnsi="Arial"/>
          <w:sz w:val="19"/>
          <w:szCs w:val="19"/>
        </w:rPr>
        <w:t xml:space="preserve">- Total sales exceed A-Class (125.1%) and national (160.7%) averages</w:t>
      </w:r>
    </w:p>
    <w:p>
      <w:pPr>
        <w:spacing w:before="10" w:after="10"/>
        <w:ind w:left="360"/>
      </w:pPr>
      <w:r>
        <w:rPr>
          <w:rFonts w:ascii="Arial" w:cs="Arial" w:eastAsia="Arial" w:hAnsi="Arial"/>
          <w:sz w:val="19"/>
          <w:szCs w:val="19"/>
        </w:rPr>
        <w:t xml:space="preserve">- PTUR and PNHMR both declined year-over-year</w:t>
      </w:r>
    </w:p>
    <w:p>
      <w:pPr>
        <w:pStyle w:val="Heading2"/>
        <w:spacing w:before="130" w:after="60"/>
      </w:pPr>
      <w:r>
        <w:rPr>
          <w:rFonts w:ascii="Arial" w:cs="Arial" w:eastAsia="Arial" w:hAnsi="Arial"/>
          <w:b/>
          <w:bCs/>
          <w:color w:val="2E75B6"/>
          <w:sz w:val="22"/>
          <w:szCs w:val="22"/>
        </w:rPr>
        <w:t xml:space="preserve">2. Departmental Gross Profit Performance (25% weight)</w:t>
      </w:r>
    </w:p>
    <w:p>
      <w:pPr>
        <w:spacing w:before="30" w:after="30"/>
      </w:pPr>
      <w:r>
        <w:rPr>
          <w:rFonts w:ascii="Arial" w:cs="Arial" w:eastAsia="Arial" w:hAnsi="Arial"/>
          <w:b/>
          <w:bCs/>
          <w:sz w:val="21"/>
          <w:szCs w:val="21"/>
        </w:rPr>
        <w:t xml:space="preserve">Score: </w:t>
      </w:r>
      <w:r>
        <w:rPr>
          <w:rFonts w:ascii="Arial" w:cs="Arial" w:eastAsia="Arial" w:hAnsi="Arial"/>
          <w:b/>
          <w:bCs/>
          <w:color w:val="D4A017"/>
          <w:sz w:val="21"/>
          <w:szCs w:val="21"/>
        </w:rPr>
        <w:t xml:space="preserve">52/100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Overall A&amp;L Gross Margin at 30.57%, substandard (below 31.0% benchmark min)</w:t>
      </w:r>
    </w:p>
    <w:p>
      <w:pPr>
        <w:spacing w:before="10" w:after="10"/>
        <w:ind w:left="360"/>
      </w:pPr>
      <w:r>
        <w:rPr>
          <w:rFonts w:ascii="Arial" w:cs="Arial" w:eastAsia="Arial" w:hAnsi="Arial"/>
          <w:sz w:val="19"/>
          <w:szCs w:val="19"/>
        </w:rPr>
        <w:t xml:space="preserve">- ABC A&amp;L Gross Margin excellent at 46.77% (above 44.0% max)</w:t>
      </w:r>
    </w:p>
    <w:p>
      <w:pPr>
        <w:spacing w:before="10" w:after="10"/>
        <w:ind w:left="360"/>
      </w:pPr>
      <w:r>
        <w:rPr>
          <w:rFonts w:ascii="Arial" w:cs="Arial" w:eastAsia="Arial" w:hAnsi="Arial"/>
          <w:sz w:val="19"/>
          <w:szCs w:val="19"/>
        </w:rPr>
        <w:t xml:space="preserve">- Margin gap between ABC and overall suggests non-ABC product mix issue</w:t>
      </w:r>
    </w:p>
    <w:p>
      <w:pPr>
        <w:spacing w:before="10" w:after="10"/>
        <w:ind w:left="360"/>
      </w:pPr>
      <w:r>
        <w:rPr>
          <w:rFonts w:ascii="Arial" w:cs="Arial" w:eastAsia="Arial" w:hAnsi="Arial"/>
          <w:sz w:val="19"/>
          <w:szCs w:val="19"/>
        </w:rPr>
        <w:t xml:space="preserve">- ABC margin declined 2.85 pp YoY, while overall margin was stable</w:t>
      </w:r>
    </w:p>
    <w:p>
      <w:pPr>
        <w:pStyle w:val="Heading2"/>
        <w:spacing w:before="130" w:after="60"/>
      </w:pPr>
      <w:r>
        <w:rPr>
          <w:rFonts w:ascii="Arial" w:cs="Arial" w:eastAsia="Arial" w:hAnsi="Arial"/>
          <w:b/>
          <w:bCs/>
          <w:color w:val="2E75B6"/>
          <w:sz w:val="22"/>
          <w:szCs w:val="22"/>
        </w:rPr>
        <w:t xml:space="preserve">3. Cost Management (20%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58/100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Non-Moving Inventory at 18.31%, good (within benchmark range)</w:t>
      </w:r>
    </w:p>
    <w:p>
      <w:pPr>
        <w:spacing w:before="10" w:after="10"/>
        <w:ind w:left="360"/>
      </w:pPr>
      <w:r>
        <w:rPr>
          <w:rFonts w:ascii="Arial" w:cs="Arial" w:eastAsia="Arial" w:hAnsi="Arial"/>
          <w:sz w:val="19"/>
          <w:szCs w:val="19"/>
        </w:rPr>
        <w:t xml:space="preserve">- Non-moving inventory well below peer averages</w:t>
      </w:r>
    </w:p>
    <w:p>
      <w:pPr>
        <w:spacing w:before="10" w:after="10"/>
        <w:ind w:left="360"/>
      </w:pPr>
      <w:r>
        <w:rPr>
          <w:rFonts w:ascii="Arial" w:cs="Arial" w:eastAsia="Arial" w:hAnsi="Arial"/>
          <w:sz w:val="19"/>
          <w:szCs w:val="19"/>
        </w:rPr>
        <w:t xml:space="preserve">- Seasonal Sell-through at 45.21%, substandard (below 65.0% min)</w:t>
      </w:r>
    </w:p>
    <w:p>
      <w:pPr>
        <w:spacing w:before="10" w:after="10"/>
        <w:ind w:left="360"/>
      </w:pPr>
      <w:r>
        <w:rPr>
          <w:rFonts w:ascii="Arial" w:cs="Arial" w:eastAsia="Arial" w:hAnsi="Arial"/>
          <w:sz w:val="19"/>
          <w:szCs w:val="19"/>
        </w:rPr>
        <w:t xml:space="preserve">- Inventory turns at 1.12, substandard (below 2.5 min)</w:t>
      </w:r>
    </w:p>
    <w:p>
      <w:pPr>
        <w:pStyle w:val="Heading2"/>
        <w:spacing w:before="130" w:after="60"/>
      </w:pPr>
      <w:r>
        <w:rPr>
          <w:rFonts w:ascii="Arial" w:cs="Arial" w:eastAsia="Arial" w:hAnsi="Arial"/>
          <w:b/>
          <w:bCs/>
          <w:color w:val="2E75B6"/>
          <w:sz w:val="22"/>
          <w:szCs w:val="22"/>
        </w:rPr>
        <w:t xml:space="preserve">4. Market Position/Growth (15%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60/100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Total A&amp;L Sales exceeds A-Class average by 25.1%</w:t>
      </w:r>
    </w:p>
    <w:p>
      <w:pPr>
        <w:spacing w:before="10" w:after="10"/>
        <w:ind w:left="360"/>
      </w:pPr>
      <w:r>
        <w:rPr>
          <w:rFonts w:ascii="Arial" w:cs="Arial" w:eastAsia="Arial" w:hAnsi="Arial"/>
          <w:sz w:val="19"/>
          <w:szCs w:val="19"/>
        </w:rPr>
        <w:t xml:space="preserve">- National average exceeded by 60.7%</w:t>
      </w:r>
    </w:p>
    <w:p>
      <w:pPr>
        <w:spacing w:before="10" w:after="10"/>
        <w:ind w:left="360"/>
      </w:pPr>
      <w:r>
        <w:rPr>
          <w:rFonts w:ascii="Arial" w:cs="Arial" w:eastAsia="Arial" w:hAnsi="Arial"/>
          <w:sz w:val="19"/>
          <w:szCs w:val="19"/>
        </w:rPr>
        <w:t xml:space="preserve">- Strong market position maintained</w:t>
      </w:r>
    </w:p>
    <w:p>
      <w:pPr>
        <w:spacing w:before="10" w:after="10"/>
        <w:ind w:left="360"/>
      </w:pPr>
      <w:r>
        <w:rPr>
          <w:rFonts w:ascii="Arial" w:cs="Arial" w:eastAsia="Arial" w:hAnsi="Arial"/>
          <w:sz w:val="19"/>
          <w:szCs w:val="19"/>
        </w:rPr>
        <w:t xml:space="preserve">- ABC A&amp;L sales decline concerning but offset by non-ABC growth</w:t>
      </w:r>
    </w:p>
    <w:p>
      <w:pPr>
        <w:pStyle w:val="Heading2"/>
        <w:spacing w:before="130" w:after="60"/>
      </w:pPr>
      <w:r>
        <w:rPr>
          <w:rFonts w:ascii="Arial" w:cs="Arial" w:eastAsia="Arial" w:hAnsi="Arial"/>
          <w:b/>
          <w:bCs/>
          <w:color w:val="2E75B6"/>
          <w:sz w:val="22"/>
          <w:szCs w:val="22"/>
        </w:rPr>
        <w:t xml:space="preserve">5. Operational Efficiency (10% weight)</w:t>
      </w:r>
    </w:p>
    <w:p>
      <w:pPr>
        <w:spacing w:before="30" w:after="30"/>
      </w:pPr>
      <w:r>
        <w:rPr>
          <w:rFonts w:ascii="Arial" w:cs="Arial" w:eastAsia="Arial" w:hAnsi="Arial"/>
          <w:b/>
          <w:bCs/>
          <w:sz w:val="21"/>
          <w:szCs w:val="21"/>
        </w:rPr>
        <w:t xml:space="preserve">Score: </w:t>
      </w:r>
      <w:r>
        <w:rPr>
          <w:rFonts w:ascii="Arial" w:cs="Arial" w:eastAsia="Arial" w:hAnsi="Arial"/>
          <w:b/>
          <w:bCs/>
          <w:color w:val="D4A017"/>
          <w:sz w:val="21"/>
          <w:szCs w:val="21"/>
        </w:rPr>
        <w:t xml:space="preserve">50/100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Inventory turns significantly below benchmark</w:t>
      </w:r>
    </w:p>
    <w:p>
      <w:pPr>
        <w:spacing w:before="10" w:after="10"/>
        <w:ind w:left="360"/>
      </w:pPr>
      <w:r>
        <w:rPr>
          <w:rFonts w:ascii="Arial" w:cs="Arial" w:eastAsia="Arial" w:hAnsi="Arial"/>
          <w:sz w:val="19"/>
          <w:szCs w:val="19"/>
        </w:rPr>
        <w:t xml:space="preserve">- Good non-moving inventory management</w:t>
      </w:r>
    </w:p>
    <w:p>
      <w:pPr>
        <w:spacing w:before="10" w:after="10"/>
        <w:ind w:left="360"/>
      </w:pPr>
      <w:r>
        <w:rPr>
          <w:rFonts w:ascii="Arial" w:cs="Arial" w:eastAsia="Arial" w:hAnsi="Arial"/>
          <w:sz w:val="19"/>
          <w:szCs w:val="19"/>
        </w:rPr>
        <w:t xml:space="preserve">- Seasonal sell-through needs significant improvement</w:t>
      </w:r>
    </w:p>
    <w:p>
      <w:pPr>
        <w:spacing w:before="10" w:after="10"/>
        <w:ind w:left="360"/>
      </w:pPr>
      <w:r>
        <w:rPr>
          <w:rFonts w:ascii="Arial" w:cs="Arial" w:eastAsia="Arial" w:hAnsi="Arial"/>
          <w:sz w:val="19"/>
          <w:szCs w:val="19"/>
        </w:rPr>
        <w:t xml:space="preserve">- Need for better inventory category management</w:t>
      </w:r>
    </w:p>
    <w:p>
      <w:pPr>
        <w:pStyle w:val="Heading2"/>
        <w:spacing w:before="200" w:after="100"/>
      </w:pPr>
      <w:r>
        <w:rPr>
          <w:rFonts w:ascii="Arial" w:cs="Arial" w:eastAsia="Arial" w:hAnsi="Arial"/>
          <w:b/>
          <w:bCs/>
          <w:color w:val="1F3864"/>
          <w:sz w:val="24"/>
          <w:szCs w:val="24"/>
        </w:rPr>
        <w:t xml:space="preserve">Department Performance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560"/>
        <w:gridCol w:w="140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Performance Category</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Weighted Score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Rating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Departmental Sales Performance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55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16.5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Average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Departmental Gross Profit Performance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D4A017"/>
                <w:sz w:val="20"/>
                <w:szCs w:val="20"/>
              </w:rPr>
              <w:t xml:space="preserve">52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D4A017"/>
                <w:sz w:val="20"/>
                <w:szCs w:val="20"/>
              </w:rPr>
              <w:t xml:space="preserve">Average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Cost Management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58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11.6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Average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Market Position/Growth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9.0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Operational Efficiency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D4A017"/>
                <w:sz w:val="20"/>
                <w:szCs w:val="20"/>
              </w:rPr>
              <w:t xml:space="preserve">50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5.0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D4A017"/>
                <w:sz w:val="20"/>
                <w:szCs w:val="20"/>
              </w:rPr>
              <w:t xml:space="preserve">Average</w:t>
            </w:r>
          </w:p>
        </w:tc>
      </w:tr>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TOTAL</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100%</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55.1</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Average</w:t>
            </w:r>
          </w:p>
        </w:tc>
      </w:tr>
    </w:tbl>
    <w:p>
      <w:pPr>
        <w:spacing w:before="120" w:after="200"/>
      </w:pPr>
      <w:r>
        <w:rPr>
          <w:rFonts w:ascii="Arial" w:cs="Arial" w:eastAsia="Arial" w:hAnsi="Arial"/>
          <w:b/>
          <w:bCs/>
          <w:color w:val="2E75B6"/>
          <w:sz w:val="22"/>
          <w:szCs w:val="22"/>
        </w:rPr>
        <w:t xml:space="preserve">Overall Weighted Score: 55.1/100 - Average</w:t>
      </w:r>
    </w:p>
    <w:p>
      <w:r>
        <w:br w:type="page"/>
      </w:r>
    </w:p>
    <w:p>
      <w:pPr>
        <w:pStyle w:val="Heading1"/>
        <w:spacing w:before="200" w:after="120"/>
      </w:pPr>
      <w:r>
        <w:rPr>
          <w:rFonts w:ascii="Arial" w:cs="Arial" w:eastAsia="Arial" w:hAnsi="Arial"/>
          <w:b/>
          <w:bCs/>
          <w:color w:val="006400"/>
          <w:sz w:val="28"/>
          <w:szCs w:val="28"/>
        </w:rPr>
        <w:t xml:space="preserve">Key Strengths</w:t>
      </w:r>
    </w:p>
    <w:p>
      <w:pPr>
        <w:spacing w:before="35" w:after="35"/>
        <w:ind w:left="360"/>
      </w:pPr>
      <w:r>
        <w:rPr>
          <w:rFonts w:ascii="Arial" w:cs="Arial" w:eastAsia="Arial" w:hAnsi="Arial"/>
          <w:sz w:val="21"/>
          <w:szCs w:val="21"/>
        </w:rPr>
        <w:t xml:space="preserve">1. ABC A&amp;L Gross Margin excellent at 46.77%, exceeding benchmark maximum of 44.0%</w:t>
      </w:r>
    </w:p>
    <w:p>
      <w:pPr>
        <w:spacing w:before="35" w:after="35"/>
        <w:ind w:left="360"/>
      </w:pPr>
      <w:r>
        <w:rPr>
          <w:rFonts w:ascii="Arial" w:cs="Arial" w:eastAsia="Arial" w:hAnsi="Arial"/>
          <w:sz w:val="21"/>
          <w:szCs w:val="21"/>
        </w:rPr>
        <w:t xml:space="preserve">2. Total A&amp;L Sales exceeds A-Class (125.1%) and national (160.7%) averages</w:t>
      </w:r>
    </w:p>
    <w:p>
      <w:pPr>
        <w:spacing w:before="35" w:after="35"/>
        <w:ind w:left="360"/>
      </w:pPr>
      <w:r>
        <w:rPr>
          <w:rFonts w:ascii="Arial" w:cs="Arial" w:eastAsia="Arial" w:hAnsi="Arial"/>
          <w:sz w:val="21"/>
          <w:szCs w:val="21"/>
        </w:rPr>
        <w:t xml:space="preserve">3. Non-Moving Inventory at 18.31%, good (within benchmark range) and significantly below peer levels</w:t>
      </w:r>
    </w:p>
    <w:p>
      <w:pPr>
        <w:spacing w:before="35" w:after="35"/>
        <w:ind w:left="360"/>
      </w:pPr>
      <w:r>
        <w:rPr>
          <w:rFonts w:ascii="Arial" w:cs="Arial" w:eastAsia="Arial" w:hAnsi="Arial"/>
          <w:sz w:val="21"/>
          <w:szCs w:val="21"/>
        </w:rPr>
        <w:t xml:space="preserve">4. Total A&amp;L Sales grew modestly (+1.5% YoY) while A-Class average declined</w:t>
      </w:r>
    </w:p>
    <w:p>
      <w:pPr>
        <w:spacing w:before="35" w:after="35"/>
        <w:ind w:left="360"/>
      </w:pPr>
      <w:r>
        <w:rPr>
          <w:rFonts w:ascii="Arial" w:cs="Arial" w:eastAsia="Arial" w:hAnsi="Arial"/>
          <w:sz w:val="21"/>
          <w:szCs w:val="21"/>
        </w:rPr>
        <w:t xml:space="preserve">5. A&amp;L PTUR at 135.6% of A-Class average, strong per-unit attachment</w:t>
      </w:r>
    </w:p>
    <w:p>
      <w:pPr>
        <w:pStyle w:val="Heading1"/>
        <w:spacing w:before="200" w:after="120"/>
      </w:pPr>
      <w:r>
        <w:rPr>
          <w:rFonts w:ascii="Arial" w:cs="Arial" w:eastAsia="Arial" w:hAnsi="Arial"/>
          <w:b/>
          <w:bCs/>
          <w:color w:val="CC0000"/>
          <w:sz w:val="28"/>
          <w:szCs w:val="28"/>
        </w:rPr>
        <w:t xml:space="preserve">Areas Requiring Attention</w:t>
      </w:r>
    </w:p>
    <w:p>
      <w:pPr>
        <w:spacing w:before="35" w:after="35"/>
        <w:ind w:left="360"/>
      </w:pPr>
      <w:r>
        <w:rPr>
          <w:rFonts w:ascii="Arial" w:cs="Arial" w:eastAsia="Arial" w:hAnsi="Arial"/>
          <w:sz w:val="21"/>
          <w:szCs w:val="21"/>
        </w:rPr>
        <w:t xml:space="preserve">1. Overall A&amp;L Gross Margin at 30.57%, substandard (below 31.0% benchmark minimum)</w:t>
      </w:r>
    </w:p>
    <w:p>
      <w:pPr>
        <w:spacing w:before="35" w:after="35"/>
        <w:ind w:left="360"/>
      </w:pPr>
      <w:r>
        <w:rPr>
          <w:rFonts w:ascii="Arial" w:cs="Arial" w:eastAsia="Arial" w:hAnsi="Arial"/>
          <w:sz w:val="21"/>
          <w:szCs w:val="21"/>
        </w:rPr>
        <w:t xml:space="preserve">2. ABC A&amp;L Sales declined -9.8% YoY while total A&amp;L was stable, indicating product mix shift</w:t>
      </w:r>
    </w:p>
    <w:p>
      <w:pPr>
        <w:spacing w:before="35" w:after="35"/>
        <w:ind w:left="360"/>
      </w:pPr>
      <w:r>
        <w:rPr>
          <w:rFonts w:ascii="Arial" w:cs="Arial" w:eastAsia="Arial" w:hAnsi="Arial"/>
          <w:sz w:val="21"/>
          <w:szCs w:val="21"/>
        </w:rPr>
        <w:t xml:space="preserve">3. ABC A&amp;L Inventory Turns at 1.12, substandard (below benchmark minimum of 2.5)</w:t>
      </w:r>
    </w:p>
    <w:p>
      <w:pPr>
        <w:spacing w:before="35" w:after="35"/>
        <w:ind w:left="360"/>
      </w:pPr>
      <w:r>
        <w:rPr>
          <w:rFonts w:ascii="Arial" w:cs="Arial" w:eastAsia="Arial" w:hAnsi="Arial"/>
          <w:sz w:val="21"/>
          <w:szCs w:val="21"/>
        </w:rPr>
        <w:t xml:space="preserve">4. ABC A&amp;L Seasonal Sell-through at 45.21%, substandard (below benchmark minimum of 65.0%)</w:t>
      </w:r>
    </w:p>
    <w:p>
      <w:pPr>
        <w:spacing w:before="35" w:after="35"/>
        <w:ind w:left="360"/>
      </w:pPr>
      <w:r>
        <w:rPr>
          <w:rFonts w:ascii="Arial" w:cs="Arial" w:eastAsia="Arial" w:hAnsi="Arial"/>
          <w:sz w:val="21"/>
          <w:szCs w:val="21"/>
        </w:rPr>
        <w:t xml:space="preserve">5. ABC A&amp;L PNHMR below both A-Class and national averages</w:t>
      </w:r>
    </w:p>
    <w:p>
      <w:pPr>
        <w:pStyle w:val="Heading1"/>
        <w:spacing w:before="200" w:after="120"/>
      </w:pPr>
      <w:r>
        <w:rPr>
          <w:rFonts w:ascii="Arial" w:cs="Arial" w:eastAsia="Arial" w:hAnsi="Arial"/>
          <w:b/>
          <w:bCs/>
          <w:color w:val="1F3864"/>
          <w:sz w:val="28"/>
          <w:szCs w:val="28"/>
        </w:rPr>
        <w:t xml:space="preserve">Strategic Recommendations</w:t>
      </w:r>
    </w:p>
    <w:p>
      <w:pPr>
        <w:pStyle w:val="Heading2"/>
        <w:spacing w:before="120" w:after="60"/>
      </w:pPr>
      <w:r>
        <w:rPr>
          <w:rFonts w:ascii="Arial" w:cs="Arial" w:eastAsia="Arial" w:hAnsi="Arial"/>
          <w:b/>
          <w:bCs/>
          <w:color w:val="2E75B6"/>
          <w:sz w:val="22"/>
          <w:szCs w:val="22"/>
        </w:rPr>
        <w:t xml:space="preserve">Immediate Actions (0-3 months)</w:t>
      </w:r>
    </w:p>
    <w:p>
      <w:pPr>
        <w:spacing w:before="25" w:after="25"/>
        <w:ind w:left="360"/>
      </w:pPr>
      <w:r>
        <w:rPr>
          <w:rFonts w:ascii="Arial" w:cs="Arial" w:eastAsia="Arial" w:hAnsi="Arial"/>
          <w:sz w:val="20"/>
          <w:szCs w:val="20"/>
        </w:rPr>
        <w:t xml:space="preserve">- Inventory Turns Improvement: Review the ABC-Moto PAM Turns Tool to identify slow-turning A&amp;L categories. Refer to the Manage by Numbers lessons on Optimizing P&amp;A and A&amp;L Inventory Performance for corrective strategies. Focus on right-sizing inventory levels in underperforming categories.</w:t>
      </w:r>
    </w:p>
    <w:p>
      <w:pPr>
        <w:spacing w:before="25" w:after="25"/>
        <w:ind w:left="360"/>
      </w:pPr>
      <w:r>
        <w:rPr>
          <w:rFonts w:ascii="Arial" w:cs="Arial" w:eastAsia="Arial" w:hAnsi="Arial"/>
          <w:sz w:val="20"/>
          <w:szCs w:val="20"/>
        </w:rPr>
        <w:t xml:space="preserve">- Seasonal Sell-through: Implement aggressive end-of-season clearance strategies and consider pre-season ordering discipline to improve the 45.21% sell-through rate toward the 65% benchmark minimum.</w:t>
      </w:r>
    </w:p>
    <w:p>
      <w:pPr>
        <w:spacing w:before="25" w:after="25"/>
        <w:ind w:left="360"/>
      </w:pPr>
      <w:r>
        <w:rPr>
          <w:rFonts w:ascii="Arial" w:cs="Arial" w:eastAsia="Arial" w:hAnsi="Arial"/>
          <w:sz w:val="20"/>
          <w:szCs w:val="20"/>
        </w:rPr>
        <w:t xml:space="preserve">- ABC Product Focus: Redirect sales efforts toward ABC-branded A&amp;L products to reverse the -9.8% decline and improve the overall margin profile.</w:t>
      </w:r>
    </w:p>
    <w:p>
      <w:pPr>
        <w:pStyle w:val="Heading2"/>
        <w:spacing w:before="120" w:after="60"/>
      </w:pPr>
      <w:r>
        <w:rPr>
          <w:rFonts w:ascii="Arial" w:cs="Arial" w:eastAsia="Arial" w:hAnsi="Arial"/>
          <w:b/>
          <w:bCs/>
          <w:color w:val="2E75B6"/>
          <w:sz w:val="22"/>
          <w:szCs w:val="22"/>
        </w:rPr>
        <w:t xml:space="preserve">Short-Term Actions (3-6 months)</w:t>
      </w:r>
    </w:p>
    <w:p>
      <w:pPr>
        <w:spacing w:before="25" w:after="25"/>
        <w:ind w:left="360"/>
      </w:pPr>
      <w:r>
        <w:rPr>
          <w:rFonts w:ascii="Arial" w:cs="Arial" w:eastAsia="Arial" w:hAnsi="Arial"/>
          <w:sz w:val="20"/>
          <w:szCs w:val="20"/>
        </w:rPr>
        <w:t xml:space="preserve">- Overall Margin Improvement: Review non-ABC A&amp;L product pricing and selection to improve the overall gross margin above the 31.0% benchmark minimum. Consider reducing low-margin non-ABC product lines.</w:t>
      </w:r>
    </w:p>
    <w:p>
      <w:pPr>
        <w:spacing w:before="25" w:after="25"/>
        <w:ind w:left="360"/>
      </w:pPr>
      <w:r>
        <w:rPr>
          <w:rFonts w:ascii="Arial" w:cs="Arial" w:eastAsia="Arial" w:hAnsi="Arial"/>
          <w:sz w:val="20"/>
          <w:szCs w:val="20"/>
        </w:rPr>
        <w:t xml:space="preserve">- A&amp;L Attachment at Point of Sale: Implement structured A&amp;L presentation during both new and used motorcycle sales to improve PNHMR and capitalize on the growing used vehicle customer base.</w:t>
      </w:r>
    </w:p>
    <w:p>
      <w:pPr>
        <w:spacing w:before="25" w:after="25"/>
        <w:ind w:left="360"/>
      </w:pPr>
      <w:r>
        <w:rPr>
          <w:rFonts w:ascii="Arial" w:cs="Arial" w:eastAsia="Arial" w:hAnsi="Arial"/>
          <w:sz w:val="20"/>
          <w:szCs w:val="20"/>
        </w:rPr>
        <w:t xml:space="preserve">- Inventory Optimization: Target achieving 2.0+ A&amp;L inventory turns within 6 months through disciplined purchasing and clearance of slow-moving stock.</w:t>
      </w:r>
    </w:p>
    <w:p>
      <w:pPr>
        <w:pStyle w:val="Heading2"/>
        <w:spacing w:before="120" w:after="60"/>
      </w:pPr>
      <w:r>
        <w:rPr>
          <w:rFonts w:ascii="Arial" w:cs="Arial" w:eastAsia="Arial" w:hAnsi="Arial"/>
          <w:b/>
          <w:bCs/>
          <w:color w:val="2E75B6"/>
          <w:sz w:val="22"/>
          <w:szCs w:val="22"/>
        </w:rPr>
        <w:t xml:space="preserve">Long-Term Strategies (6-12 months)</w:t>
      </w:r>
    </w:p>
    <w:p>
      <w:pPr>
        <w:spacing w:before="25" w:after="25"/>
        <w:ind w:left="360"/>
      </w:pPr>
      <w:r>
        <w:rPr>
          <w:rFonts w:ascii="Arial" w:cs="Arial" w:eastAsia="Arial" w:hAnsi="Arial"/>
          <w:sz w:val="20"/>
          <w:szCs w:val="20"/>
        </w:rPr>
        <w:t xml:space="preserve">- Department Revitalization: Develop a comprehensive A&amp;L department strategy that leverages the dealership's strong market position and excellent ABC margins while addressing inventory management and sell-through challenges.</w:t>
      </w:r>
    </w:p>
    <w:p>
      <w:pPr>
        <w:spacing w:before="25" w:after="25"/>
        <w:ind w:left="360"/>
      </w:pPr>
      <w:r>
        <w:rPr>
          <w:rFonts w:ascii="Arial" w:cs="Arial" w:eastAsia="Arial" w:hAnsi="Arial"/>
          <w:sz w:val="20"/>
          <w:szCs w:val="20"/>
        </w:rPr>
        <w:t xml:space="preserve">- Product Mix Strategy: Optimize the balance between ABC and non-ABC A&amp;L products to maximize both revenue growth and overall department margin.</w:t>
      </w:r>
    </w:p>
    <w:p>
      <w:pPr>
        <w:pBdr>
          <w:top w:val="single" w:color="2E75B6" w:sz="4" w:space="1"/>
        </w:pBdr>
        <w:spacing w:before="300" w:after="60"/>
      </w:pPr>
    </w:p>
    <w:p>
      <w:pPr>
        <w:spacing w:after="30"/>
      </w:pPr>
      <w:r>
        <w:rPr>
          <w:rFonts w:ascii="Arial" w:cs="Arial" w:eastAsia="Arial" w:hAnsi="Arial"/>
          <w:i/>
          <w:iCs/>
          <w:color w:val="666666"/>
          <w:sz w:val="18"/>
          <w:szCs w:val="18"/>
        </w:rPr>
        <w:t xml:space="preserve">Report prepared based on operational data for the period January 2025 to December 2025</w:t>
      </w:r>
    </w:p>
    <w:p>
      <w:pPr>
        <w:spacing w:after="30"/>
      </w:pPr>
      <w:r>
        <w:rPr>
          <w:rFonts w:ascii="Arial" w:cs="Arial" w:eastAsia="Arial" w:hAnsi="Arial"/>
          <w:i/>
          <w:iCs/>
          <w:color w:val="666666"/>
          <w:sz w:val="18"/>
          <w:szCs w:val="18"/>
        </w:rPr>
        <w:t xml:space="preserve">Analysis conducted using industry benchmarks and A-Class volume class comparisons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Manage by Numbers Dealer Performance Scorecard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DPS - A&amp;L Sales Growth | </w:t>
    </w:r>
    <w:r>
      <w:rPr>
        <w:rFonts w:ascii="Arial" w:cs="Arial" w:eastAsia="Arial" w:hAnsi="Arial"/>
        <w:i/>
        <w:iCs/>
        <w:color w:val="999999"/>
        <w:sz w:val="16"/>
        <w:szCs w:val="16"/>
      </w:rPr>
      <w:t xml:space="preserve">57004TEST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2026-02-21T15:31:47.652Z</dcterms:created>
  <dcterms:modified xsi:type="dcterms:W3CDTF">2026-02-21T15:31:47.653Z</dcterms:modified>
</cp:coreProperties>
</file>

<file path=docProps/custom.xml><?xml version="1.0" encoding="utf-8"?>
<Properties xmlns="http://schemas.openxmlformats.org/officeDocument/2006/custom-properties" xmlns:vt="http://schemas.openxmlformats.org/officeDocument/2006/docPropsVTypes"/>
</file>