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Service Sales Growth Department Performance Analysis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Dealership Name: 57004TEST ABC-Moto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Period: January 2025 to December 2025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Report Date: February 21, 2026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This report analyzes the Service Sales Growth department performance for 57004TEST ABC-Moto for the rolling 12-month period from January 2025 to December 2025. The Service department has a direct relationship with motorcycle unit sales, which totaled 385 combined ABC units (232 new + 153 used). The growing used vehicle customer base is particularly important as it drives ongoing service revenue through maintenance, repairs, and customization work.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Service department demonstrates exceptional performance across most key metrics. Service Sales Gross Margin at 65.84% exceeds the benchmark maximum, and Service Labour Gross Margin at 74.26% is within the good range. Proficiency at 105.5% and Efficiency at 125.2% both dramatically exceed their respective benchmark maximums and significantly outperform peer averages. The Effective Selling Rate of $123.20 is within the good benchmark range. Key areas of concern include declining Labour Net Sales (-2.7%) and Service Labour Gross Profit CP% at 36.22%, which is below the benchmark minimum.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Detailed Performance Analysis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Total Service Net Sales $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$1,028,856.23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+1.3% ($13,425.84)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89.1% of benchmark ($1,154,749.01)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123.1% of benchmark ($836,123.87)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Total Service Net Sales of $1,028,856.23 grew modestly by +1.3% ($13,425.84) year-over-year. At 89.1% of the A-Class average and 123.1% of the national average, the dealership trails the A-Class peer group but significantly exceeds the national average. The A-Class average grew by $29,908.82, outpacing the dealership's growth. The expanding used ABC motorcycle customer base (153 units, +26.4% YoY) provides a growing pool of service customers requiring maintenance and repairs.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Service Sales Gross Margin 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65.84%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+4.9% (3.10 pp)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100.1% of benchmark (65.80%)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104.7% of benchmark (62.87%)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006400"/>
          <w:sz w:val="19"/>
          <w:szCs w:val="19"/>
        </w:rPr>
        <w:t xml:space="preserve">Excellent (above benchmark maximum)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Service Sales Gross Margin of 65.84% improved by 3.10 percentage points (+4.9%) year-over-year, exceeding the benchmark maximum of 64.0%. At 100.1% of the A-Class average (65.80%) and 104.7% of the national average (62.87%), the dealership's margin is in line with A-Class peers and exceeds the national average. This is a standout metric reflecting excellent service department margin management.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Total Service Labour Net Sales $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$978,246.37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-2.7% (-$27,396.41)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92.6% of benchmark ($1,056,918.96)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128.1% of benchmark ($763,361.20)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Service Labour Net Sales of $978,246.37 declined by -2.7% (-$27,396.41) year-over-year. At 92.6% of the A-Class average and 128.1% of the national average. The decline in labour sales while the A-Class average grew by $25,900.31 is a concern that suggests potential capacity constraints or reduced throughput. The dealership should evaluate whether staffing levels and scheduling are optimized to capture available labour revenue.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Service Labour Gross Margin 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74.26%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+0.5% (0.38 pp)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103.0% of benchmark (72.09%)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106.0% of benchmark (70.04%)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Good (within benchmark range)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Service Labour Gross Margin of 74.26% improved slightly by 0.38 percentage points year-over-year. Within the benchmark range of 65.0% to 75.0%, this is assessed as Good. At 103.0% of the A-Class average (72.09%) and 106.0% of the national average (70.04%), the dealership exceeds both benchmarks. The strong labour margin demonstrates effective labor rate management and cost control.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Labor Revenue Per Total Units Retailed (PTUR)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$2,439.52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-9.3% (-$249.37)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100.3% of benchmark ($2,431.80)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90.5% of benchmark ($2,696.46)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Labor Revenue PTUR of $2,439.52 declined by -9.3% (-$249.37) year-over-year. At 100.3% of the A-Class average and 90.5% of the national average. The decline is partially explained by the expanding total unit base (especially used units), which dilutes the per-unit metric. The A-Class average improved by $94.88, indicating the dealership is underperforming the peer trend.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Service Sales $ Per Total Units Retailed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$2,565.73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-5.5% (-$149.33)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96.6% of benchmark ($2,656.89)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86.9% of benchmark ($2,953.48)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Service Sales PTUR of $2,565.73 declined by -5.5% (-$149.33) year-over-year. At 96.6% of the A-Class average and 86.9% of the national average. Similar to the Labour PTUR, the expanded unit base contributes to the per-unit decline. There is an opportunity to improve service attachment rates for the growing used motorcycle customer base.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Service Parts &amp; Accessories Dollars to Labour Hour Ratio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$174.54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+5.6% ($9.19)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81.1% of benchmark ($215.27)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84.4% of benchmark ($206.69)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The Service P&amp;A to Labour Hour Ratio of $174.54 improved by +5.6% ($9.19) year-over-year. At 81.1% of the A-Class average ($215.27) and 84.4% of the national average ($206.69), the dealership is below both peer benchmarks. This indicates an opportunity to improve parts attachment during service work orders, which would drive additional P&amp;A revenue through the service department.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Proficiency (Profitability)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105.52%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+13.7% (12.69 pp)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156.7% of benchmark (67.32%)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157.8% of benchmark (66.85%)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006400"/>
          <w:sz w:val="19"/>
          <w:szCs w:val="19"/>
        </w:rPr>
        <w:t xml:space="preserve">Excellent (above benchmark maximum)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Proficiency of 105.5% improved dramatically by 12.69 percentage points (+13.7%) year-over-year. This significantly exceeds the benchmark maximum of 78.0% and is assessed as Excellent. At 156.7% of the A-Class average (67.3%) and 157.8% of the national average (66.9%), the dealership dramatically outperforms both benchmarks. This exceptional proficiency indicates technicians are generating more revenue per available hour than expected, reflecting superior service pricing, work quality, and customer satisfaction.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Efficiency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125.16%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+20.0% (20.89 pp)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125.8% of benchmark (99.45%)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126.9% of benchmark (98.61%)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006400"/>
          <w:sz w:val="19"/>
          <w:szCs w:val="19"/>
        </w:rPr>
        <w:t xml:space="preserve">Excellent (above benchmark maximum)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Efficiency of 125.2% improved by 20.89 percentage points (+20.0%) year-over-year. This significantly exceeds the benchmark maximum of 97.0% and is assessed as Excellent. At 125.8% of the A-Class average and 126.9% of the national average, the dealership substantially outperforms both peers. Efficiency above 100% indicates technicians are consistently completing work in less than the allotted flat-rate time, demonstrating exceptional technical skill and process optimization.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Repair Orders (RO) per Tech per day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$2.72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+16.8% ($0.39)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112.0% of benchmark ($2.42)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122.4% of benchmark ($2.22)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RO per Tech per day of 2.72 improved by 0.39 (+16.8%) year-over-year. At 112.0% of the A-Class average (2.42) and 122.4% of the national average (2.22), the dealership outperforms both benchmarks. The improvement in RO throughput, combined with the exceptional efficiency and proficiency metrics, confirms a well-managed service operation with strong technician productivity.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11. Effective Selling Rate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$123.20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-0.0% ($-0.02)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78.0% of benchmark ($157.89)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82.9% of benchmark ($148.68)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Good (within benchmark range)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The Effective Selling Rate of $123.20 remained essentially stable year-over-year. Within the benchmark range of $110 to $145, this is assessed as Good. At 78.0% of the A-Class average ($157.89) and 82.9% of the national average ($148.68), the dealership is below both peer levels. While within the good benchmark range, there is opportunity to improve the effective rate through pricing adjustments and reduced internal/warranty work dilution.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12. Labour Sales per RO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$339.90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-1.0% ($-3.55)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96.8% of benchmark ($351.27)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99.0% of benchmark ($343.18)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006400"/>
          <w:sz w:val="19"/>
          <w:szCs w:val="19"/>
        </w:rPr>
        <w:t xml:space="preserve">Excellent (above benchmark maximum)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Labour Sales per RO of $339.90 declined slightly by $3.55 (-1.0%) year-over-year. Exceeding the benchmark maximum of $330, this is assessed as Excellent. At 96.8% of the A-Class average ($351.27) and 99.0% of the national average ($343.18), the dealership is in line with both peer levels. The strong per-RO revenue, combined with improved RO throughput, reflects effective service writing and multi-point inspection processes that capture available work per visit.</w:t>
      </w:r>
    </w:p>
    <w:p>
      <w:pPr>
        <w:pStyle w:val="Heading2"/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Service Labour Gross Profit by Category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13. Service Labour Gross Profit CP 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36.22%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+11.8% (3.82 pp)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89.0% of benchmark (40.70%)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85.2% of benchmark (42.54%)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CC0000"/>
          <w:sz w:val="19"/>
          <w:szCs w:val="19"/>
        </w:rPr>
        <w:t xml:space="preserve">Substandard (below benchmark minimum)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Service Labour Gross Profit CP% of 36.22% improved by 3.82 percentage points (+11.8%) year-over-year. Below the benchmark minimum of 65.0%, this is assessed as Substandard. At 89.0% of the A-Class average (40.70%) and 85.2% of the national average (42.54%), the customer-pay labour margin is below both peer levels. However, the year-over-year improvement is positive, and continued focus on customer-pay pricing and efficiency should help move this metric toward benchmark levels.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14. Service Labour Gross Profit Internal PDI/Deal 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31.11%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+5.0% (1.49 pp)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168.7% of benchmark (18.44%)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198.2% of benchmark (15.69%)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Benchmark Min and Max is Not Applicable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Internal PDI/Deal Labour Gross Profit at 31.11% improved by 1.49 percentage points year-over-year. At 168.7% of the A-Class average and 198.2% of the national average, the dealership significantly exceeds both peer levels. The high internal rate indicates the dealership is effectively charging internal work at sustainable margins.</w:t>
      </w:r>
    </w:p>
    <w:p>
      <w:pPr>
        <w:pStyle w:val="Heading2"/>
        <w:spacing w:before="14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15. Service Labour Gross Profit Warranty 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Current Year: 2.99%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Year-over-Year Change: +12.5% (0.33 pp)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A-Class Average: 67.1% of benchmark (4.46%)</w:t>
      </w:r>
    </w:p>
    <w:p>
      <w:pPr>
        <w:spacing w:before="12" w:after="12"/>
        <w:ind w:left="360"/>
      </w:pPr>
      <w:r>
        <w:rPr>
          <w:rFonts w:ascii="Arial" w:cs="Arial" w:eastAsia="Arial" w:hAnsi="Arial"/>
          <w:sz w:val="19"/>
          <w:szCs w:val="19"/>
        </w:rPr>
        <w:t xml:space="preserve">National Average: 77.0% of benchmark (3.89%)</w:t>
      </w:r>
    </w:p>
    <w:p>
      <w:pPr>
        <w:spacing w:before="25" w:after="25"/>
        <w:ind w:left="3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Assessment: 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Benchmark Min and Max is Not Applicable</w:t>
      </w:r>
    </w:p>
    <w:p>
      <w:pPr>
        <w:spacing w:before="40" w:after="80"/>
      </w:pPr>
      <w:r>
        <w:rPr>
          <w:rFonts w:ascii="Arial" w:cs="Arial" w:eastAsia="Arial" w:hAnsi="Arial"/>
          <w:sz w:val="19"/>
          <w:szCs w:val="19"/>
        </w:rPr>
        <w:t xml:space="preserve">Warranty Labour Gross Profit at 2.99% improved by 0.33 percentage points year-over-year. At 67.1% of the A-Class average and 77.0% of the national average, the dealership is below both peer levels. Warranty margins are typically constrained by manufacturer reimbursement rates, limiting the dealership's ability to improve this metric significantly.</w:t>
      </w:r>
    </w:p>
    <w:p>
      <w:pPr>
        <w:pStyle w:val="Heading2"/>
        <w:spacing w:before="160" w:after="7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Impact of New and Used ABC Unit Sales on Service Performance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Service department benefits from a strong customer base of 385 ABC motorcycle owners from current-year sales alone (232 new, 153 used). The substantial growth in used ABC unit sales (+26.4%) is particularly significant for the service department, as used motorcycle owners typically require more frequent service, maintenance, and repair work than new motorcycle owners. This expanding customer base provides a growing pool of potential service revenue. The dealership should leverage this expanding customer base by implementing proactive service marketing campaigns targeting used motorcycle purchasers.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Performance Score Assessment</w:t>
      </w:r>
    </w:p>
    <w:p>
      <w:pPr>
        <w:pStyle w:val="Heading2"/>
        <w:spacing w:before="12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Departmental Sales Performance (30% weight)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58/100</w:t>
      </w:r>
    </w:p>
    <w:p>
      <w:pPr>
        <w:spacing w:before="15" w:after="1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Total Service Net Sales grew modestly (+1.3% YoY)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Labour Net Sales declined -2.7% YoY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Service sales exceed national average (123.1%)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PTUR and Service Sales per unit both declined</w:t>
      </w:r>
    </w:p>
    <w:p>
      <w:pPr>
        <w:pStyle w:val="Heading2"/>
        <w:spacing w:before="12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Departmental Gross Profit Performance (25% weight)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006400"/>
          <w:sz w:val="21"/>
          <w:szCs w:val="21"/>
        </w:rPr>
        <w:t xml:space="preserve">82/100</w:t>
      </w:r>
    </w:p>
    <w:p>
      <w:pPr>
        <w:spacing w:before="15" w:after="1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Service Sales Gross Margin at 65.84%, excellent (above 64.0% max)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Service Labour Margin at 74.26%, good (within range)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Both margins improved year-over-year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CP Labour Margin at 36.22%, substandard (below 65.0% min)</w:t>
      </w:r>
    </w:p>
    <w:p>
      <w:pPr>
        <w:pStyle w:val="Heading2"/>
        <w:spacing w:before="12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Cost Management (20% weight)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006400"/>
          <w:sz w:val="21"/>
          <w:szCs w:val="21"/>
        </w:rPr>
        <w:t xml:space="preserve">78/100</w:t>
      </w:r>
    </w:p>
    <w:p>
      <w:pPr>
        <w:spacing w:before="15" w:after="1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Proficiency at 105.5%, excellent (far above 78.0% max)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Efficiency at 125.2%, excellent (far above 97.0% max)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Effective Selling Rate at $123.20, good (within range)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Labour Sales per RO at $339.90, excellent (above benchmark max)</w:t>
      </w:r>
    </w:p>
    <w:p>
      <w:pPr>
        <w:pStyle w:val="Heading2"/>
        <w:spacing w:before="12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Market Position/Growth (15% weight)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62/100</w:t>
      </w:r>
    </w:p>
    <w:p>
      <w:pPr>
        <w:spacing w:before="15" w:after="1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RO per Tech per day at 2.72, above both peer averages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Service revenue exceeds national average by 23.1%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Trails A-Class average (89.1%) in total service sales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Labour revenue decline while peers grew is a gap</w:t>
      </w:r>
    </w:p>
    <w:p>
      <w:pPr>
        <w:pStyle w:val="Heading2"/>
        <w:spacing w:before="12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Operational Efficiency (10% weight)</w:t>
      </w:r>
    </w:p>
    <w:p>
      <w:pPr>
        <w:spacing w:before="25" w:after="25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Score: </w:t>
      </w:r>
      <w:r>
        <w:rPr>
          <w:rFonts w:ascii="Arial" w:cs="Arial" w:eastAsia="Arial" w:hAnsi="Arial"/>
          <w:b/>
          <w:bCs/>
          <w:color w:val="006400"/>
          <w:sz w:val="21"/>
          <w:szCs w:val="21"/>
        </w:rPr>
        <w:t xml:space="preserve">85/100</w:t>
      </w:r>
    </w:p>
    <w:p>
      <w:pPr>
        <w:spacing w:before="15" w:after="1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Primary Factors: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Proficiency and Efficiency both dramatically exceed benchmarks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RO throughput above peer levels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Strong technician productivity metrics</w:t>
      </w:r>
    </w:p>
    <w:p>
      <w:pPr>
        <w:spacing w:before="8" w:after="8"/>
        <w:ind w:left="360"/>
      </w:pPr>
      <w:r>
        <w:rPr>
          <w:rFonts w:ascii="Arial" w:cs="Arial" w:eastAsia="Arial" w:hAnsi="Arial"/>
          <w:sz w:val="19"/>
          <w:szCs w:val="19"/>
        </w:rPr>
        <w:t xml:space="preserve">- P&amp;A to Labour Hour ratio below peers, room to improve</w:t>
      </w:r>
    </w:p>
    <w:p>
      <w:pPr>
        <w:pStyle w:val="Heading2"/>
        <w:spacing w:before="180" w:after="9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Department Performance Score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1560"/>
        <w:gridCol w:w="1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Weighted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Departmental Sales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Departmental Gross Profit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 Position/Growth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Above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Efficiency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4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Above Average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Overall Weighted Score: 71.3/100 - Above Average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006400"/>
          <w:sz w:val="28"/>
          <w:szCs w:val="28"/>
        </w:rPr>
        <w:t xml:space="preserve">Key Strengths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1. Proficiency at 105.5%, excellent - dramatically exceeds benchmark maximum (78.0%) and both peer averages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2. Efficiency at 125.2%, excellent - significantly exceeds benchmark maximum (97.0%) and peer averages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3. Service Sales Gross Margin at 65.84%, excellent - above benchmark maximum (64.0%)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4. Service Labour Gross Margin at 74.26%, good - near top of benchmark range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5. RO per Tech per day at 2.72, above both A-Class and national averages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6. Effective Selling Rate at $123.20, good - within benchmark range ($110-$145)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7. Labour Sales per RO at $339.90, excellent - exceeds benchmark maximum ($330)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CC0000"/>
          <w:sz w:val="28"/>
          <w:szCs w:val="28"/>
        </w:rPr>
        <w:t xml:space="preserve">Areas Requiring Attention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1. Service Labour Gross Profit CP% at 36.22%, substandard (benchmark minimum 65.0%)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2. Total Service Labour Net Sales declined -2.7% YoY while peers grew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3. Service P&amp;A to Labour Hour Ratio below both A-Class and national averages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4. Effective Selling Rate at $123.20, below A-Class ($157.89) and national ($148.68) averages</w:t>
      </w:r>
    </w:p>
    <w:p>
      <w:pPr>
        <w:spacing w:before="30" w:after="30"/>
        <w:ind w:left="360"/>
      </w:pPr>
      <w:r>
        <w:rPr>
          <w:rFonts w:ascii="Arial" w:cs="Arial" w:eastAsia="Arial" w:hAnsi="Arial"/>
          <w:sz w:val="20"/>
          <w:szCs w:val="20"/>
        </w:rPr>
        <w:t xml:space="preserve">5. Service Sales $ Per Total Units Retailed declined 5.5% YoY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Strategic Recommendations</w:t>
      </w:r>
    </w:p>
    <w:p>
      <w:pPr>
        <w:pStyle w:val="Heading2"/>
        <w:spacing w:before="11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Immediate Actions (0-3 months)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CP Labour Margin Improvement: Review customer-pay pricing strategies to improve the CP labour margin from 36.22% toward the 65.0% benchmark minimum. Evaluate labour rate competitiveness and discount practices.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Labour Revenue Recovery: Address the declining labour sales trend by evaluating technician capacity, scheduling efficiency, and service marketing to capture available demand.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Service P&amp;A Attachment: Implement processes to improve parts attachment during service work orders, increasing the P&amp;A to Labour Hour Ratio toward peer levels.</w:t>
      </w:r>
    </w:p>
    <w:p>
      <w:pPr>
        <w:pStyle w:val="Heading2"/>
        <w:spacing w:before="11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Short-Term Actions (3-6 months)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Effective Selling Rate Enhancement: Develop strategies to increase the effective selling rate toward the upper end of the benchmark range, including review of labour rate structure and reduction of non-revenue labour time.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Used Vehicle Customer Service Marketing: Implement targeted service marketing campaigns to the growing used ABC motorcycle customer base, capturing maintenance and repair revenue from these additional customers.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Service Capacity Assessment: Evaluate whether current service department staffing and scheduling are optimized to support revenue growth without compromising the exceptional efficiency and proficiency metrics.</w:t>
      </w:r>
    </w:p>
    <w:p>
      <w:pPr>
        <w:pStyle w:val="Heading2"/>
        <w:spacing w:before="110" w:after="5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Long-Term Strategies (6-12 months)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Sustainable Growth: Leverage the exceptional operational efficiency as a foundation for revenue growth. The department has demonstrated it can deliver outstanding margins and productivity - the focus should be on growing the top line to capture the full potential of these operational strengths.</w:t>
      </w:r>
    </w:p>
    <w:p>
      <w:pPr>
        <w:spacing w:before="20" w:after="20"/>
        <w:ind w:left="360"/>
      </w:pPr>
      <w:r>
        <w:rPr>
          <w:rFonts w:ascii="Arial" w:cs="Arial" w:eastAsia="Arial" w:hAnsi="Arial"/>
          <w:sz w:val="19"/>
          <w:szCs w:val="19"/>
        </w:rPr>
        <w:t xml:space="preserve">- Customer Retention: Build a comprehensive service retention program to maintain long-term relationships with both new and used motorcycle customers, ensuring sustained service revenue growth.</w:t>
      </w:r>
    </w:p>
    <w:p>
      <w:pPr>
        <w:pBdr>
          <w:top w:val="single" w:color="2E75B6" w:sz="4" w:space="1"/>
        </w:pBdr>
        <w:spacing w:before="250" w:after="50"/>
      </w:pPr>
    </w:p>
    <w:p>
      <w:pPr>
        <w:spacing w:after="25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Report prepared based on operational data for the period January 2025 to December 2025</w:t>
      </w:r>
    </w:p>
    <w:p>
      <w:pPr>
        <w:spacing w:after="25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Analysis conducted using industry benchmarks and A-Class volume class comparisons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Manage by Numbers Dealer Performance Scorecard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DPS - Service Sales Growth | 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57004TEST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2026-02-21T15:36:18.749Z</dcterms:created>
  <dcterms:modified xsi:type="dcterms:W3CDTF">2026-02-21T15:36:18.750Z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