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24-Nov to 25-Oct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Service Sales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55.44%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62.31% (dealership at 89%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Sales Gross Margin % is currently at 55.44%. Performance is 89%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2. Service Labour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78.27%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69.94% (dealership at 112%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Gross Margin % is currently at 78.27%. Performance is 112% of the national average, outperforming the broader market. Benchmark assessment: EXCELLENT.</w:t>
      </w:r>
    </w:p>
    <w:p>
      <w:pPr>
        <w:pStyle w:val="Heading2"/>
      </w:pPr>
      <w:r>
        <w:rPr>
          <w:b/>
          <w:bCs/>
        </w:rPr>
        <w:t xml:space="preserve">3. Labor Revenue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$2,124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$2,695 (dealership at 79%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Labor Revenue PTUR is currently at $2,124. Performance is 79%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Service P&amp;A to Labour Hour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$176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$206 (dealership at 86%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P&amp;A to Labour Hour Ratio is currently at $176. Performance is 86% of the national average, trailing the broader market.</w:t>
      </w:r>
    </w:p>
    <w:p>
      <w:pPr>
        <w:pStyle w:val="Heading2"/>
      </w:pPr>
      <w:r>
        <w:rPr>
          <w:b/>
          <w:bCs/>
        </w:rPr>
        <w:t xml:space="preserve">5. Proficiency (Profitability)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45.38%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66.44% (dealership at 68%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Proficiency (Profitability) is currently at 45.38%. Performance is 68%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6.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82.77%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99.18% (dealership at 83%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Efficiency is currently at 82.77%. Performance is 83%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7. RO per Tech per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1.788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2.179 (dealership at 82%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RO per Tech per Day is currently at 1.788. Performance is 82% of the national average, trailing the broader market.</w:t>
      </w:r>
    </w:p>
    <w:p>
      <w:pPr>
        <w:pStyle w:val="Heading2"/>
      </w:pPr>
      <w:r>
        <w:rPr>
          <w:b/>
          <w:bCs/>
        </w:rPr>
        <w:t xml:space="preserve">8. Service Labour GP CP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47.34%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43.29% (dealership at 109%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CP % is currently at 47.34%. Performance is 109%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9. Service Labour GP Internal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18.70%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15.15%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Internal % is currently at 18.70%. Performance is 123%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10. Service Labour GP Warranty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2.84%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3.72% (dealership at 76%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Warranty % is currently at 2.84%. Performance is 76% of the national average, trailing the broader market.</w:t>
      </w:r>
    </w:p>
    <w:p>
      <w:pPr>
        <w:pStyle w:val="Heading2"/>
      </w:pPr>
      <w:r>
        <w:rPr>
          <w:b/>
          <w:bCs/>
        </w:rPr>
        <w:t xml:space="preserve">11. Effective Selling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$147 (dealership at 117%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Effective Selling Rate is currently at $172. Performance is 117% of the national average, outperforming the broader market. Benchmark assessment: EXCELLENT.</w:t>
      </w:r>
    </w:p>
    <w:p>
      <w:pPr>
        <w:pStyle w:val="Heading2"/>
      </w:pPr>
      <w:r>
        <w:rPr>
          <w:b/>
          <w:bCs/>
        </w:rPr>
        <w:t xml:space="preserve">12. Labour Sales per 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$428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$341 (dealership at 125%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Labour Sales per RO is currently at $428. Performance is 125% of the national average, outperforming the broader market. Benchmark assessment: EXCELLENT.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24-Nov to 25-Oct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2026-02-09T12:08:24.926Z</dcterms:created>
  <dcterms:modified xsi:type="dcterms:W3CDTF">2026-02-09T12:08:24.926Z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