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Service Sales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55.44%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62.31% (dealership at 89%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Sales Gross Margin % is currently at 55.44%. Performance is 89%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2. Service Labour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78.27%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69.94% (dealership at 112%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Gross Margin % is currently at 78.27%. Performance is 112% of the national average, outperforming the broader market. Benchmark assessment: EXCELLENT.</w:t>
      </w:r>
    </w:p>
    <w:p>
      <w:pPr>
        <w:pStyle w:val="Heading2"/>
      </w:pPr>
      <w:r>
        <w:rPr>
          <w:b/>
          <w:bCs/>
        </w:rPr>
        <w:t xml:space="preserve">3. Labor Revenue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$2,124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$2,695 (dealership at 79%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Labor Revenue PTUR is currently at $2,124. Performance is 79%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Service P&amp;A to Labour Hour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$176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$206 (dealership at 86%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P&amp;A to Labour Hour Ratio is currently at $176. Performance is 86% of the national average, trailing the broader market.</w:t>
      </w:r>
    </w:p>
    <w:p>
      <w:pPr>
        <w:pStyle w:val="Heading2"/>
      </w:pPr>
      <w:r>
        <w:rPr>
          <w:b/>
          <w:bCs/>
        </w:rPr>
        <w:t xml:space="preserve">5. Proficiency (Profitability)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45.38%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66.44% (dealership at 68%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Proficiency (Profitability) is currently at 45.38%. Performance is 68%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6.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82.77%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99.18% (dealership at 83%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Efficiency is currently at 82.77%. Performance is 83%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7. RO per Tech per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1.788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2.179 (dealership at 82%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RO per Tech per Day is currently at 1.788. Performance is 82%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Service Labour GP CP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47.34%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43.29% (dealership at 109%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CP % is currently at 47.34%. Performance is 109%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9. Service Labour GP Internal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18.70%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15.15%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Internal % is currently at 18.70%. Performance is 123%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10. Service Labour GP Warranty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2.84%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3.72% (dealership at 76%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Warranty % is currently at 2.84%. Performance is 76% of the national average, trailing the broader market.</w:t>
      </w:r>
    </w:p>
    <w:p>
      <w:pPr>
        <w:pStyle w:val="Heading2"/>
      </w:pPr>
      <w:r>
        <w:rPr>
          <w:b/>
          <w:bCs/>
        </w:rPr>
        <w:t xml:space="preserve">11. Effective Selling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$147 (dealership at 117%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Effective Selling Rate is currently at $172. Performance is 117% of the national average, outperforming the broader market. Benchmark assessment: EXCELLENT.</w:t>
      </w:r>
    </w:p>
    <w:p>
      <w:pPr>
        <w:pStyle w:val="Heading2"/>
      </w:pPr>
      <w:r>
        <w:rPr>
          <w:b/>
          <w:bCs/>
        </w:rPr>
        <w:t xml:space="preserve">12. Labour Sales per 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$428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$341 (dealership at 125%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Labour Sales per RO is currently at $428. Performance is 125% of the national average, outperforming the broader market. Benchmark assessment: EXCELLENT.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2026-02-12T21:33:17.599Z</dcterms:created>
  <dcterms:modified xsi:type="dcterms:W3CDTF">2026-02-12T21:33:17.599Z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