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Detailed Overall Dealership Performance Analysis</w:t>
      </w:r>
    </w:p>
    <w:p>
      <w:pPr>
        <w:spacing w:after="120"/>
      </w:pPr>
      <w:r>
        <w:rPr>
          <w:b/>
          <w:bCs/>
        </w:rPr>
        <w:t xml:space="preserve">Dealership Name: </w:t>
      </w:r>
      <w:r>
        <w:t xml:space="preserve">07001TEST</w:t>
      </w:r>
    </w:p>
    <w:p>
      <w:pPr>
        <w:spacing w:after="120"/>
      </w:pPr>
      <w:r>
        <w:rPr>
          <w:b/>
          <w:bCs/>
        </w:rPr>
        <w:t xml:space="preserve">Period: </w:t>
      </w:r>
      <w:r>
        <w:t xml:space="preserve">2024-09-01 to 2025-08-31</w:t>
      </w:r>
    </w:p>
    <w:p>
      <w:pPr>
        <w:spacing w:after="400"/>
      </w:pPr>
      <w:r>
        <w:rPr>
          <w:b/>
          <w:bCs/>
        </w:rPr>
        <w:t xml:space="preserve">Report Date: </w:t>
      </w:r>
      <w:r>
        <w:t xml:space="preserve">February 1, 2026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This report provides a comprehensive analysis of Overall Dealership performance for 07001TEST. The assessment is based on current period data compared against B-Class averages and national benchmarks.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Detailed Performance Analysis</w:t>
      </w:r>
    </w:p>
    <w:p>
      <w:pPr>
        <w:pStyle w:val="Heading2"/>
      </w:pPr>
      <w:r>
        <w:rPr>
          <w:b/>
          <w:bCs/>
        </w:rPr>
        <w:t xml:space="preserve">1. Overall Dealership Net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$600,999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+$550,000 (930%)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$580,000 (dealership at 10360%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$6,500,000 (dealership at 920%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Overall Dealership Net Sales is currently at $600,999. This represents 10360% of B-Class average. </w:t>
      </w:r>
    </w:p>
    <w:p>
      <w:pPr>
        <w:pStyle w:val="Heading2"/>
      </w:pPr>
      <w:r>
        <w:rPr>
          <w:b/>
          <w:bCs/>
        </w:rPr>
        <w:t xml:space="preserve">2. Overall Dealership Gross Margin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11550.00%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+11020.00% (480%)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11200.00% (dealership at 10310%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11180.00% (dealership at 10330%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Exceptional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Overall Dealership Gross Margin % is currently at 11550.00%. This represents 10310% of B-Class average. Benchmark assessment: EXCEPTIONAL.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Strategic Recommendations</w:t>
      </w:r>
    </w:p>
    <w:p>
      <w:pPr>
        <w:pStyle w:val="Heading2"/>
      </w:pPr>
      <w:r>
        <w:rPr>
          <w:b/>
          <w:bCs/>
        </w:rPr>
        <w:t xml:space="preserve">Immediate Actions (0-3 months)</w:t>
      </w:r>
    </w:p>
    <w:p>
      <w:pPr>
        <w:pStyle w:val="ListParagraph"/>
        <w:numPr>
          <w:ilvl w:val="0"/>
          <w:numId w:val="3"/>
        </w:numPr>
      </w:pPr>
      <w:r>
        <w:t xml:space="preserve">Review KPIs marked as Substandard or Weak</w:t>
      </w:r>
    </w:p>
    <w:p>
      <w:pPr>
        <w:pStyle w:val="ListParagraph"/>
        <w:numPr>
          <w:ilvl w:val="0"/>
          <w:numId w:val="3"/>
        </w:numPr>
      </w:pPr>
      <w:r>
        <w:t xml:space="preserve">Compare against B-Class top performers</w:t>
      </w:r>
    </w:p>
    <w:p>
      <w:pPr>
        <w:pStyle w:val="Heading2"/>
      </w:pPr>
      <w:r>
        <w:rPr>
          <w:b/>
          <w:bCs/>
        </w:rPr>
        <w:t xml:space="preserve">Short-Term Actions (3-6 months)</w:t>
      </w:r>
    </w:p>
    <w:p>
      <w:pPr>
        <w:pStyle w:val="ListParagraph"/>
        <w:numPr>
          <w:ilvl w:val="0"/>
          <w:numId w:val="3"/>
        </w:numPr>
      </w:pPr>
      <w:r>
        <w:t xml:space="preserve">Develop action plans for underperforming areas</w:t>
      </w:r>
    </w:p>
    <w:p>
      <w:pPr>
        <w:pStyle w:val="ListParagraph"/>
        <w:numPr>
          <w:ilvl w:val="0"/>
          <w:numId w:val="3"/>
        </w:numPr>
      </w:pPr>
      <w:r>
        <w:t xml:space="preserve">Set quarterly improvement targets</w:t>
      </w:r>
    </w:p>
    <w:p>
      <w:pPr>
        <w:pStyle w:val="Heading2"/>
      </w:pPr>
      <w:r>
        <w:rPr>
          <w:b/>
          <w:bCs/>
        </w:rPr>
        <w:t xml:space="preserve">Long-Term Strategies (6-12 months)</w:t>
      </w:r>
    </w:p>
    <w:p>
      <w:pPr>
        <w:pStyle w:val="ListParagraph"/>
        <w:numPr>
          <w:ilvl w:val="0"/>
          <w:numId w:val="3"/>
        </w:numPr>
      </w:pPr>
      <w:r>
        <w:t xml:space="preserve">Implement continuous improvement processes</w:t>
      </w:r>
    </w:p>
    <w:p>
      <w:pPr>
        <w:pStyle w:val="ListParagraph"/>
        <w:numPr>
          <w:ilvl w:val="0"/>
          <w:numId w:val="3"/>
        </w:numPr>
      </w:pPr>
      <w:r>
        <w:t xml:space="preserve">Consider ManageByNumbers training courses</w:t>
      </w:r>
    </w:p>
    <w:p>
      <w:pPr>
        <w:pStyle w:val="Heading1"/>
        <w:spacing w:before="400"/>
      </w:pPr>
      <w:r>
        <w:rPr>
          <w:b/>
          <w:bCs/>
        </w:rPr>
        <w:t xml:space="preserve">Critical Summary</w:t>
      </w:r>
    </w:p>
    <w:p>
      <w:pPr>
        <w:spacing w:after="400"/>
      </w:pPr>
      <w:r>
        <w:rPr>
          <w:b/>
          <w:bCs/>
        </w:rPr>
        <w:t xml:space="preserve">This Overall Dealership report provides benchmark scores and comparisons for 07001TEST. For detailed AI-powered analysis and personalized recommendations, please configure an Anthropic API key.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Report prepared based on operational data for the period 2024-09-01 to 2025-08-31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07001TEST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2026-02-01T23:12:41.671Z</dcterms:created>
  <dcterms:modified xsi:type="dcterms:W3CDTF">2026-02-01T23:12:41.671Z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