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aeb6f16dc1f941eeb52ea6d768e96fc74e67ed8"/>
    <w:p>
      <w:pPr>
        <w:pStyle w:val="Heading1"/>
      </w:pPr>
      <w:r>
        <w:t xml:space="preserve">PRUEBA TÉCNICA – ANALISTA SENIOR DE GOBIERNO DE DATOS</w:t>
      </w:r>
    </w:p>
    <w:bookmarkStart w:id="21" w:name="Xe07c7d7a69f40eb3501cd5f94e5591273f259f3"/>
    <w:p>
      <w:pPr>
        <w:pStyle w:val="Heading2"/>
      </w:pPr>
      <w:r>
        <w:t xml:space="preserve">HDI Seguros Colombia | Gerencia de Datos y Analítica</w:t>
      </w:r>
    </w:p>
    <w:bookmarkStart w:id="20" w:name="X4ac64e4ab3d2b8022075bab368473a87743420a"/>
    <w:p>
      <w:pPr>
        <w:pStyle w:val="Heading3"/>
      </w:pPr>
      <w:r>
        <w:t xml:space="preserve">Sección B: Gobierno de Datos, Normativas y Trazabilidad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X9de142ebcae71123deca6d8fb71a204ebc60154"/>
    <w:p>
      <w:pPr>
        <w:pStyle w:val="Heading2"/>
      </w:pPr>
      <w:r>
        <w:t xml:space="preserve">B1. Ficha del KPI:</w:t>
      </w:r>
      <w:r>
        <w:t xml:space="preserve"> </w:t>
      </w:r>
      <w:r>
        <w:t xml:space="preserve">“</w:t>
      </w:r>
      <w:r>
        <w:t xml:space="preserve">% Siniestros pagados en ≤ 1 día</w:t>
      </w:r>
      <w:r>
        <w:t xml:space="preserve">”</w:t>
      </w:r>
    </w:p>
    <w:bookmarkStart w:id="22" w:name="definiciones-previas"/>
    <w:p>
      <w:pPr>
        <w:pStyle w:val="Heading3"/>
      </w:pPr>
      <w:r>
        <w:t xml:space="preserve">Definiciones previas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Siniestro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Materialización del riesgo cubierto por una póliza que genera un reclamo del asegurado a la compañía.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FNOL (First Notice of Loss)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 aviso de siniestro. Fecha en que el asegurado o sus beneficiarios reportan el evento a HDI Seguros. Es el punto de partida del SLA.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 1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Acuerdo de Nivel de Servicio que establece que el pago del siniestro debe realizarse dentro de 1 día calendario desde la recepción del FNOL.</w:t>
            </w:r>
          </w:p>
        </w:tc>
      </w:tr>
    </w:tbl>
    <w:bookmarkEnd w:id="22"/>
    <w:bookmarkStart w:id="23" w:name="ficha-técnica-del-kpi"/>
    <w:p>
      <w:pPr>
        <w:pStyle w:val="Heading3"/>
      </w:pPr>
      <w:r>
        <w:t xml:space="preserve">Ficha técnica del KPI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Medir la eficiencia operativa en el pago de siniestros dentro del SLA establecido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Porcentaje de siniestros pagados cuya diferencia entre fecha de FNOL y fecha de pago es ≤ 1 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Fórmula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(Siniestros pagados en ≤ 1 día ÷ Total de siniestros pagados en el período) ×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Fuente autorizada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Redshift (plataforma analítica objetivo)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Granularidad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Mensual, segmentable por canal y producto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 de Siniestros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Analista de Gobierno de Datos — Dominio Siniestros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Supuesto crítico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calidad del registro de</w:t>
            </w:r>
            <w:r>
              <w:t xml:space="preserve"> </w:t>
            </w:r>
            <w:r>
              <w:rPr>
                <w:rStyle w:val="VerbatimChar"/>
              </w:rPr>
              <w:t xml:space="preserve">fecha_fnol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fecha_pago</w:t>
            </w:r>
            <w:r>
              <w:t xml:space="preserve"> </w:t>
            </w:r>
            <w:r>
              <w:t xml:space="preserve">es fundamental: fechas nulas o incorrectas distorsionan el KPI. Si un siniestro tiene</w:t>
            </w:r>
            <w:r>
              <w:t xml:space="preserve"> </w:t>
            </w:r>
            <w:r>
              <w:rPr>
                <w:rStyle w:val="VerbatimChar"/>
              </w:rPr>
              <w:t xml:space="preserve">fecha_pago</w:t>
            </w:r>
            <w:r>
              <w:t xml:space="preserve"> </w:t>
            </w:r>
            <w:r>
              <w:t xml:space="preserve">nula, no puede incluirse en el cálculo, subestimando el denominador.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Supuesto crítico #2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definición de</w:t>
            </w:r>
            <w:r>
              <w:t xml:space="preserve"> </w:t>
            </w:r>
            <w:r>
              <w:t xml:space="preserve">“</w:t>
            </w:r>
            <w:r>
              <w:t xml:space="preserve">pagado</w:t>
            </w:r>
            <w:r>
              <w:t xml:space="preserve">”</w:t>
            </w:r>
            <w:r>
              <w:t xml:space="preserve"> </w:t>
            </w:r>
            <w:r>
              <w:t xml:space="preserve">asume</w:t>
            </w:r>
            <w:r>
              <w:t xml:space="preserve"> </w:t>
            </w:r>
            <w:r>
              <w:rPr>
                <w:rStyle w:val="VerbatimChar"/>
              </w:rPr>
              <w:t xml:space="preserve">estado_siniestro = 'Pagado'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fecha_pago</w:t>
            </w:r>
            <w:r>
              <w:t xml:space="preserve"> </w:t>
            </w:r>
            <w:r>
              <w:t xml:space="preserve">no nula. Siniestros con pagos parciales progresivos sin cierre formal podrían no reflejarse adecuadamente si el estado no se actualiza hasta el pago total.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b2.-protección-de-datos-y-clasificación"/>
    <w:p>
      <w:pPr>
        <w:pStyle w:val="Heading2"/>
      </w:pPr>
      <w:r>
        <w:t xml:space="preserve">B2. Protección de datos y clasificación</w:t>
      </w:r>
    </w:p>
    <w:bookmarkStart w:id="25" w:name="campos-con-datos-personales-o-sensibles"/>
    <w:p>
      <w:pPr>
        <w:pStyle w:val="Heading3"/>
      </w:pPr>
      <w:r>
        <w:t xml:space="preserve">Campos con datos personales o sensibles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 personal (indirecto)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que permite asociar información a una persona natural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 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el tipo de documento de identidad (CC, CE, NIT,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nro_doc_hash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 personal seudonimizado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Aunque es hash SHA-256, sigue siendo un identificador susceptible de re-identificación por fuerza bruta; debe tratarse como PII seudonimizada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ciudad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 personal (indirecto)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 geográfica que en combinación con otros datos puede identificar a una persona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segmento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 sensible (comercial)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Clasificación comercial interna que refleja perfilamiento del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 personal financiero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 bancaria del asegurado; dato sensible según normativa financiera</w:t>
            </w:r>
          </w:p>
        </w:tc>
      </w:tr>
    </w:tbl>
    <w:bookmarkEnd w:id="25"/>
    <w:bookmarkStart w:id="26" w:name="normativa-colombiana-aplicable"/>
    <w:p>
      <w:pPr>
        <w:pStyle w:val="Heading3"/>
      </w:pPr>
      <w:r>
        <w:t xml:space="preserve">Normativa colombiana aplicable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Ley 1581 de 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Régimen general de protección de datos personales en Colombia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Decreto 1377 de 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Decreto reglamentario de la Ley 1581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Ley 1266 de 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Habeas Data financiero — protección de datos crediticios y financieros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Circular Externa 002 de 2022 SFC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Instrucciones de la Superintendencia Financiera para reporte y custodia de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Decreto 2555 de 2010 (modificado)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Normativa del sector asegurador colombiano</w:t>
            </w:r>
          </w:p>
        </w:tc>
      </w:tr>
    </w:tbl>
    <w:bookmarkEnd w:id="26"/>
    <w:bookmarkStart w:id="27" w:name="X02d23732969b8cceb2b07e580099148a7698ce2"/>
    <w:p>
      <w:pPr>
        <w:pStyle w:val="Heading3"/>
      </w:pPr>
      <w:r>
        <w:t xml:space="preserve">3 recomendaciones concretas de almacenamiento y acceso seguro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Encriptación en reposo con AWS KMS</w:t>
      </w:r>
      <w:r>
        <w:t xml:space="preserve">: Todos los campos clasificados como personales o sensibles deben almacenarse con encriptación AES-256 en S3 y Redshift, con rotación automática de llaves (CMK) y separación de responsabilidades entre administrador de llaves y administrador de datos.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Tokenización progresiva por capa</w:t>
      </w:r>
      <w:r>
        <w:t xml:space="preserve">: En la capa S3 Raw se almacena el</w:t>
      </w:r>
      <w:r>
        <w:t xml:space="preserve"> </w:t>
      </w:r>
      <w:r>
        <w:rPr>
          <w:rStyle w:val="VerbatimChar"/>
        </w:rPr>
        <w:t xml:space="preserve">nro_doc_hash</w:t>
      </w:r>
      <w:r>
        <w:t xml:space="preserve"> </w:t>
      </w:r>
      <w:r>
        <w:t xml:space="preserve">original (seudonimizado). En las capas Refined y Redshift, sustituir por un identificador surrogate sin relación directa con el dato fuente, asegurando que la re-identificación requiera acceso explícito a la capa Raw.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Control de acceso granular con AWS Lake Formation + IAM</w:t>
      </w:r>
      <w:r>
        <w:t xml:space="preserve">: Implementar políticas RBAC que restrinjan el acceso a columnas sensibles (</w:t>
      </w:r>
      <w:r>
        <w:rPr>
          <w:rStyle w:val="VerbatimChar"/>
        </w:rPr>
        <w:t xml:space="preserve">banco</w:t>
      </w:r>
      <w:r>
        <w:t xml:space="preserve">,</w:t>
      </w:r>
      <w:r>
        <w:t xml:space="preserve"> </w:t>
      </w:r>
      <w:r>
        <w:rPr>
          <w:rStyle w:val="VerbatimChar"/>
        </w:rPr>
        <w:t xml:space="preserve">segmento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nro_doc_hash</w:t>
      </w:r>
      <w:r>
        <w:t xml:space="preserve">) solo al equipo de Gobierno de Datos y áreas autorizadas (Regulatorio, Cumplimiento), con registro de acceso auditado vía CloudTrail y alertas en CloudWatch para accesos no autorizados.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b3.-linaje-del-dato-y-controles-en-aws"/>
    <w:p>
      <w:pPr>
        <w:pStyle w:val="Heading2"/>
      </w:pPr>
      <w:r>
        <w:t xml:space="preserve">B3. Linaje del dato y controles en AWS</w:t>
      </w:r>
    </w:p>
    <w:bookmarkStart w:id="29" w:name="Xd38cf565c6d707b648fbab4f8553647b5c087b1"/>
    <w:p>
      <w:pPr>
        <w:pStyle w:val="Heading3"/>
      </w:pPr>
      <w:r>
        <w:t xml:space="preserve">Diagrama de linaje del dato (KPI → Dashboard)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Fuente</w:t>
      </w:r>
      <w:r>
        <w:br/>
      </w:r>
      <w:r>
        <w:rPr>
          <w:rStyle w:val="VerbatimChar"/>
        </w:rPr>
        <w:t xml:space="preserve">        A[("Sistemas Core&lt;br/&gt;(OLTP)")]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Ingesta</w:t>
      </w:r>
      <w:r>
        <w:br/>
      </w:r>
      <w:r>
        <w:rPr>
          <w:rStyle w:val="VerbatimChar"/>
        </w:rPr>
        <w:t xml:space="preserve">        B["S3 Raw&lt;br/&gt;(DMS / Firehose)"]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Transformación</w:t>
      </w:r>
      <w:r>
        <w:br/>
      </w:r>
      <w:r>
        <w:rPr>
          <w:rStyle w:val="VerbatimChar"/>
        </w:rPr>
        <w:t xml:space="preserve">        C["AWS Glue ETL&lt;br/&gt;(Limpieza y casting)"]</w:t>
      </w:r>
      <w:r>
        <w:br/>
      </w:r>
      <w:r>
        <w:rPr>
          <w:rStyle w:val="VerbatimChar"/>
        </w:rPr>
        <w:t xml:space="preserve">        D["S3 Refined&lt;br/&gt;(Parquet - Curado)"]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Almacenamiento</w:t>
      </w:r>
      <w:r>
        <w:br/>
      </w:r>
      <w:r>
        <w:rPr>
          <w:rStyle w:val="VerbatimChar"/>
        </w:rPr>
        <w:t xml:space="preserve">        E["Amazon Redshift&lt;br/&gt;(Fuente Autorizada)"]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Calidad</w:t>
      </w:r>
      <w:r>
        <w:br/>
      </w:r>
      <w:r>
        <w:rPr>
          <w:rStyle w:val="VerbatimChar"/>
        </w:rPr>
        <w:t xml:space="preserve">        F["AWS Deequ / DataBrew&lt;br/&gt;(Reglas de Calidad)"]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KPI</w:t>
      </w:r>
      <w:r>
        <w:br/>
      </w:r>
      <w:r>
        <w:rPr>
          <w:rStyle w:val="VerbatimChar"/>
        </w:rPr>
        <w:t xml:space="preserve">        G["dbt / Vistas SQL&lt;br/&gt;(Cálculo del KPI)"]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Consumo</w:t>
      </w:r>
      <w:r>
        <w:br/>
      </w:r>
      <w:r>
        <w:rPr>
          <w:rStyle w:val="VerbatimChar"/>
        </w:rPr>
        <w:t xml:space="preserve">        H["Amazon QuickSight&lt;br/&gt;(Dashboard)"]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Auditoria</w:t>
      </w:r>
      <w:r>
        <w:br/>
      </w:r>
      <w:r>
        <w:rPr>
          <w:rStyle w:val="VerbatimChar"/>
        </w:rPr>
        <w:t xml:space="preserve">        I["AWS CloudTrail&lt;br/&gt;+ Config"]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 --&gt;|"CDC Diario&lt;br/&gt;(DMS)"| B</w:t>
      </w:r>
      <w:r>
        <w:br/>
      </w:r>
      <w:r>
        <w:rPr>
          <w:rStyle w:val="VerbatimChar"/>
        </w:rPr>
        <w:t xml:space="preserve">    B --&gt;|"QC1: Validación&lt;br/&gt;de esquema y tipos"| C</w:t>
      </w:r>
      <w:r>
        <w:br/>
      </w:r>
      <w:r>
        <w:rPr>
          <w:rStyle w:val="VerbatimChar"/>
        </w:rPr>
        <w:t xml:space="preserve">    C --&gt;|"QC2: Perfil de calidad&lt;br/&gt;(DataBrew)"| D</w:t>
      </w:r>
      <w:r>
        <w:br/>
      </w:r>
      <w:r>
        <w:rPr>
          <w:rStyle w:val="VerbatimChar"/>
        </w:rPr>
        <w:t xml:space="preserve">    D --&gt;|"COPY&lt;br/&gt;Redshift Spectrum"| E</w:t>
      </w:r>
      <w:r>
        <w:br/>
      </w:r>
      <w:r>
        <w:rPr>
          <w:rStyle w:val="VerbatimChar"/>
        </w:rPr>
        <w:t xml:space="preserve">    E --&gt;|"QC3: Reglas&lt;br/&gt;Deequ (4 reglas A3)"| F</w:t>
      </w:r>
      <w:r>
        <w:br/>
      </w:r>
      <w:r>
        <w:rPr>
          <w:rStyle w:val="VerbatimChar"/>
        </w:rPr>
        <w:t xml:space="preserve">    F --&gt;|"Datos certificados"| G</w:t>
      </w:r>
      <w:r>
        <w:br/>
      </w:r>
      <w:r>
        <w:rPr>
          <w:rStyle w:val="VerbatimChar"/>
        </w:rPr>
        <w:t xml:space="preserve">    G --&gt;|"KPI calculado"| H</w:t>
      </w:r>
      <w:r>
        <w:br/>
      </w:r>
      <w:r>
        <w:br/>
      </w:r>
      <w:r>
        <w:rPr>
          <w:rStyle w:val="VerbatimChar"/>
        </w:rPr>
        <w:t xml:space="preserve">    I -.-&gt;|"Audita acceso"| B</w:t>
      </w:r>
      <w:r>
        <w:br/>
      </w:r>
      <w:r>
        <w:rPr>
          <w:rStyle w:val="VerbatimChar"/>
        </w:rPr>
        <w:t xml:space="preserve">    I -.-&gt;|"Audita acceso"| E</w:t>
      </w:r>
      <w:r>
        <w:br/>
      </w:r>
      <w:r>
        <w:rPr>
          <w:rStyle w:val="VerbatimChar"/>
        </w:rPr>
        <w:t xml:space="preserve">    I -.-&gt;|"Audita queries"| G</w:t>
      </w:r>
      <w:r>
        <w:br/>
      </w:r>
      <w:r>
        <w:rPr>
          <w:rStyle w:val="VerbatimChar"/>
        </w:rPr>
        <w:t xml:space="preserve">    I -.-&gt;|"Audita consumo"| H</w:t>
      </w:r>
    </w:p>
    <w:bookmarkEnd w:id="29"/>
    <w:bookmarkStart w:id="30" w:name="generación-de-evidencia-de-controles"/>
    <w:p>
      <w:pPr>
        <w:pStyle w:val="Heading3"/>
      </w:pPr>
      <w:r>
        <w:t xml:space="preserve">Generación de evidencia de controles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generada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se almacena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QC1</w:t>
            </w:r>
            <w:r>
              <w:t xml:space="preserve"> </w:t>
            </w:r>
            <w:r>
              <w:t xml:space="preserve">(S3 Raw → Glue ETL)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esquema y tipos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de Glue con registros rechazados por schema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logs + CloudWatch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QC2</w:t>
            </w:r>
            <w:r>
              <w:t xml:space="preserve"> </w:t>
            </w:r>
            <w:r>
              <w:t xml:space="preserve">(Glue ETL → S3 Refined)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de calidad con DataBrew (NULLs, outliers, duplicados)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HTML de perfil de datos y reglas de calidad evaluadas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DataBrew jobs output + 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QC3</w:t>
            </w:r>
            <w:r>
              <w:t xml:space="preserve"> </w:t>
            </w:r>
            <w:r>
              <w:t xml:space="preserve">(Redshift → Deequ)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 de reglas de calidad (completitud, unicidad, validez temporal, conciliación)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</w:t>
            </w:r>
            <w:r>
              <w:t xml:space="preserve"> </w:t>
            </w:r>
            <w:r>
              <w:rPr>
                <w:rStyle w:val="VerbatimChar"/>
              </w:rPr>
              <w:t xml:space="preserve">dq_results</w:t>
            </w:r>
            <w:r>
              <w:t xml:space="preserve"> </w:t>
            </w:r>
            <w:r>
              <w:t xml:space="preserve">con timestamp, regla, pass/fail, registros afectados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Redshift (esquema</w:t>
            </w:r>
            <w:r>
              <w:t xml:space="preserve"> </w:t>
            </w:r>
            <w:r>
              <w:rPr>
                <w:rStyle w:val="VerbatimChar"/>
              </w:rPr>
              <w:t xml:space="preserve">governance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Auditoría continua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CloudTrail +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de todas las API calls (acceso a S3, queries Redshift, cambios IAM)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(bucket de auditoría) con retención de 7 años</w:t>
            </w:r>
          </w:p>
        </w:tc>
      </w:tr>
    </w:tbl>
    <w:bookmarkEnd w:id="30"/>
    <w:bookmarkStart w:id="31" w:name="Xe0e6734fb3151702cd939383362a0abd9c0d9d1"/>
    <w:p>
      <w:pPr>
        <w:pStyle w:val="Heading3"/>
      </w:pPr>
      <w:r>
        <w:t xml:space="preserve">4 controles mínimos de gobernanza en AWS para un Data Lake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AWS Lake Formation + IAM Policies</w:t>
      </w:r>
      <w:r>
        <w:t xml:space="preserve">: Control de acceso granular a nivel de base de datos, tabla, columna y fila. Permite definir permisos por rol (Data Scientist, Steward, Auditor) sin gestionar políticas IAM individuales.</w:t>
      </w:r>
      <w:r>
        <w:t xml:space="preserve"> </w:t>
      </w:r>
      <w:r>
        <w:rPr>
          <w:i/>
          <w:iCs/>
        </w:rPr>
        <w:t xml:space="preserve">Evidencia: políticas de acceso documentadas y registros de acceso en CloudTrail.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AWS KMS con rotación automática</w:t>
      </w:r>
      <w:r>
        <w:t xml:space="preserve">: Encriptación en reposo para S3, Redshift y Glue con CMKs separadas por ambiente (dev, staging, prod). Política de rotación automática cada 90 días.</w:t>
      </w:r>
      <w:r>
        <w:t xml:space="preserve"> </w:t>
      </w:r>
      <w:r>
        <w:rPr>
          <w:i/>
          <w:iCs/>
        </w:rPr>
        <w:t xml:space="preserve">Evidencia: CloudTrail logs de uso de llaves y política de rotación.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AWS Glue Catalog + Amazon DataZone</w:t>
      </w:r>
      <w:r>
        <w:t xml:space="preserve">: Catálogo centralizado con metadatos técnicos y de negocio, linaje automatizado, clasificación de datos (PII, sensible, público) y certificación de activos.</w:t>
      </w:r>
      <w:r>
        <w:t xml:space="preserve"> </w:t>
      </w:r>
      <w:r>
        <w:rPr>
          <w:i/>
          <w:iCs/>
        </w:rPr>
        <w:t xml:space="preserve">Evidencia: activos catalogados con propietario, steward, clasificación y fecha de certificación.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AWS CloudTrail + AWS Config + EventBridge</w:t>
      </w:r>
      <w:r>
        <w:t xml:space="preserve">: Registro continuo de todas las operaciones del Data Lake con alertas automáticas para: accesos no autorizados, modificaciones en políticas IAM, cambios en configuraciones de encriptación.</w:t>
      </w:r>
      <w:r>
        <w:t xml:space="preserve"> </w:t>
      </w:r>
      <w:r>
        <w:rPr>
          <w:i/>
          <w:iCs/>
        </w:rPr>
        <w:t xml:space="preserve">Evidencia: trail de auditoría inmutable en S3 con alerts en SNS.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7a0852e1a6f40fc2a452ef9115bbab142f3771c"/>
    <w:p>
      <w:pPr>
        <w:pStyle w:val="Heading2"/>
      </w:pPr>
      <w:r>
        <w:t xml:space="preserve">Resumen de priorización de reglas de calidad (A3)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en 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 inmediata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fechas no hay 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Solicitar a fuente completar NULLs o implementar default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Duplicados inflan el 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Depurar duplicados y agregar PK/FK 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Validez temporal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Fechas incorrectas alteran el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en fuente y rechazar registros con inversión de fechas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Conciliación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Afecta confianza financiera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Investigar diferencias y corregir en fuente transaccional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Integridad referencial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 segmentación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Corregir asignación de pólizas huérfanas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generado para prueba técnica — HDI Seguros Colombia</w:t>
      </w:r>
      <w:r>
        <w:t xml:space="preserve"> </w:t>
      </w:r>
      <w:r>
        <w:rPr>
          <w:i/>
          <w:iCs/>
        </w:rPr>
        <w:t xml:space="preserve">Plataforma objetivo: Amazon Redshift | Lenguaje: SQL ANSI + funciones Redshift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2026-05-13T14:51:42Z</dcterms:created>
  <dcterms:modified xsi:type="dcterms:W3CDTF">2026-05-13T14:51:42Z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