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Policies</w:t>
      </w:r>
    </w:p>
    <w:p>
      <w:pPr>
        <w:pStyle w:val="Subtitle"/>
      </w:pPr>
      <w:r>
        <w:t>OpenREL Information Model — Draft specification section</w:t>
      </w:r>
    </w:p>
    <w:p>
      <w:r/>
    </w:p>
    <w:p>
      <w:r/>
    </w:p>
    <w:p>
      <w:pPr>
        <w:pStyle w:val="Heading1"/>
      </w:pPr>
      <w:r>
        <w:t>1. Introduction</w:t>
      </w:r>
    </w:p>
    <w:p>
      <w:r>
        <w:t>ODRL policies express permissions, prohibitions and duties over assets and parties. OpenREL supplements the ODRL Policy model with policy categories distinguishing reusable licences, access requirements, process requirements and collections of referenced policies. The four new classes are subclasses of odrl:Policy, not replacements for the ODRL Policy types.</w:t>
      </w:r>
    </w:p>
    <w:p>
      <w:pPr>
        <w:pStyle w:val="Heading1"/>
      </w:pPr>
      <w:r>
        <w:t>2. Policy classes</w:t>
      </w:r>
    </w:p>
    <w:p>
      <w:r>
        <w:t>The ODRL policy classes described by the guidance include odrl:Set, odrl:Offer, odrl:Agreement, odrl:Request, odrl:Ticket, odrl:Privacy and odrl:Assertion. Their normative semantics remain those of the ODRL Information Model. OpenREL extensions are intended to distinguish policy content and provenance rather than the contractual lifecycle alone.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Class</w:t>
            </w:r>
          </w:p>
        </w:tc>
        <w:tc>
          <w:tcPr>
            <w:tcW w:type="dxa" w:w="2880"/>
          </w:tcPr>
          <w:p>
            <w:r>
              <w:t>Purpose</w:t>
            </w:r>
          </w:p>
        </w:tc>
        <w:tc>
          <w:tcPr>
            <w:tcW w:type="dxa" w:w="2880"/>
          </w:tcPr>
          <w:p>
            <w:r>
              <w:t>Typical application</w:t>
            </w:r>
          </w:p>
        </w:tc>
      </w:tr>
      <w:tr>
        <w:tc>
          <w:tcPr>
            <w:tcW w:type="dxa" w:w="2880"/>
          </w:tcPr>
          <w:p>
            <w:r>
              <w:t>openrel:Licence</w:t>
            </w:r>
          </w:p>
        </w:tc>
        <w:tc>
          <w:tcPr>
            <w:tcW w:type="dxa" w:w="2880"/>
          </w:tcPr>
          <w:p>
            <w:r>
              <w:t>Reusable rights and obligations of a licence</w:t>
            </w:r>
          </w:p>
        </w:tc>
        <w:tc>
          <w:tcPr>
            <w:tcW w:type="dxa" w:w="2880"/>
          </w:tcPr>
          <w:p>
            <w:r>
              <w:t>CC BY 4.0 applicable to published datasets</w:t>
            </w:r>
          </w:p>
        </w:tc>
      </w:tr>
      <w:tr>
        <w:tc>
          <w:tcPr>
            <w:tcW w:type="dxa" w:w="2880"/>
          </w:tcPr>
          <w:p>
            <w:r>
              <w:t>openrel:AccessRules</w:t>
            </w:r>
          </w:p>
        </w:tc>
        <w:tc>
          <w:tcPr>
            <w:tcW w:type="dxa" w:w="2880"/>
          </w:tcPr>
          <w:p>
            <w:r>
              <w:t>Conditions governing access outside licence terms</w:t>
            </w:r>
          </w:p>
        </w:tc>
        <w:tc>
          <w:tcPr>
            <w:tcW w:type="dxa" w:w="2880"/>
          </w:tcPr>
          <w:p>
            <w:r>
              <w:t>Repository terms, data-subject consent</w:t>
            </w:r>
          </w:p>
        </w:tc>
      </w:tr>
      <w:tr>
        <w:tc>
          <w:tcPr>
            <w:tcW w:type="dxa" w:w="2880"/>
          </w:tcPr>
          <w:p>
            <w:r>
              <w:t>openrel:ProcessRules</w:t>
            </w:r>
          </w:p>
        </w:tc>
        <w:tc>
          <w:tcPr>
            <w:tcW w:type="dxa" w:w="2880"/>
          </w:tcPr>
          <w:p>
            <w:r>
              <w:t>Procedural and platform access requirements</w:t>
            </w:r>
          </w:p>
        </w:tc>
        <w:tc>
          <w:tcPr>
            <w:tcW w:type="dxa" w:w="2880"/>
          </w:tcPr>
          <w:p>
            <w:r>
              <w:t>Registration, API rate limits</w:t>
            </w:r>
          </w:p>
        </w:tc>
      </w:tr>
      <w:tr>
        <w:tc>
          <w:tcPr>
            <w:tcW w:type="dxa" w:w="2880"/>
          </w:tcPr>
          <w:p>
            <w:r>
              <w:t>openrel:PolicyCollection</w:t>
            </w:r>
          </w:p>
        </w:tc>
        <w:tc>
          <w:tcPr>
            <w:tcW w:type="dxa" w:w="2880"/>
          </w:tcPr>
          <w:p>
            <w:r>
              <w:t>Reference multiple policies through a single policy resource</w:t>
            </w:r>
          </w:p>
        </w:tc>
        <w:tc>
          <w:tcPr>
            <w:tcW w:type="dxa" w:w="2880"/>
          </w:tcPr>
          <w:p>
            <w:r>
              <w:t>Repository-wide composite policy or negotiation record</w:t>
            </w:r>
          </w:p>
        </w:tc>
      </w:tr>
    </w:tbl>
    <w:p>
      <w:pPr>
        <w:pStyle w:val="Heading2"/>
      </w:pPr>
      <w:r>
        <w:t>2.1 Licence</w:t>
      </w:r>
    </w:p>
    <w:p>
      <w:r>
        <w:t>IRI: openrel:Licence   |   Superclass: odrl:Policy</w:t>
      </w:r>
    </w:p>
    <w:p>
      <w:r>
        <w:t>A reusable, generally non-negotiable Policy representing licence terms. A Licence MAY reference a legal-code representation. The corresponding property is specified in Section 3.</w:t>
      </w:r>
    </w:p>
    <w:p>
      <w:pPr>
        <w:spacing w:after="140" w:before="100"/>
        <w:ind w:left="259" w:right="173"/>
        <w:shd w:fill="F2F4F7"/>
        <w:pBdr>
          <w:left w:val="single" w:sz="18" w:color="3867A8"/>
        </w:pBdr>
      </w:pPr>
      <w:r>
        <w:rPr>
          <w:rFonts w:ascii="Consolas" w:hAnsi="Consolas"/>
          <w:color w:val="24374E"/>
          <w:sz w:val="16"/>
        </w:rPr>
        <w:t>openrel:licenceExample a openrel:Licence ;</w:t>
        <w:br/>
        <w:t xml:space="preserve">    dct:title "Example data licence"@en ;</w:t>
        <w:br/>
        <w:t xml:space="preserve">    openrel:legalcode &lt;https://example.org/licences/data/legalcode&gt; .</w:t>
      </w:r>
    </w:p>
    <w:p>
      <w:pPr>
        <w:pStyle w:val="Heading2"/>
      </w:pPr>
      <w:r>
        <w:t>2.2 AccessRules</w:t>
      </w:r>
    </w:p>
    <w:p>
      <w:r>
        <w:t>IRI: openrel:AccessRules   |   Superclass: odrl:Policy</w:t>
      </w:r>
    </w:p>
    <w:p>
      <w:r>
        <w:t>Access conditions associated with a repository, institution, service or data subject, separate from the licence governing use.</w:t>
      </w:r>
    </w:p>
    <w:p>
      <w:pPr>
        <w:spacing w:after="140" w:before="100"/>
        <w:ind w:left="259" w:right="173"/>
        <w:shd w:fill="F2F4F7"/>
        <w:pBdr>
          <w:left w:val="single" w:sz="18" w:color="3867A8"/>
        </w:pBdr>
      </w:pPr>
      <w:r>
        <w:rPr>
          <w:rFonts w:ascii="Consolas" w:hAnsi="Consolas"/>
          <w:color w:val="24374E"/>
          <w:sz w:val="16"/>
        </w:rPr>
        <w:t>openrel:repositoryAccess a openrel:AccessRules ;</w:t>
        <w:br/>
        <w:t xml:space="preserve">    dct:title "Repository access conditions"@en ;</w:t>
        <w:br/>
        <w:t xml:space="preserve">    odrl:permission [ a odrl:Permission ;</w:t>
        <w:br/>
        <w:t xml:space="preserve">        odrl:target &lt;https://example.org/dataset/1&gt; ;</w:t>
        <w:br/>
        <w:t xml:space="preserve">        odrl:action odrl:read ] .</w:t>
      </w:r>
    </w:p>
    <w:p>
      <w:pPr>
        <w:pStyle w:val="Heading2"/>
      </w:pPr>
      <w:r>
        <w:t>2.3 ProcessRules</w:t>
      </w:r>
    </w:p>
    <w:p>
      <w:r>
        <w:t>IRI: openrel:ProcessRules   |   Superclass: odrl:Policy</w:t>
      </w:r>
    </w:p>
    <w:p>
      <w:r>
        <w:t>Formalities imposed by a software platform or dissemination channel. A process policy can be expressed through ODRL rules and constraints; this example shows only the structural pattern.</w:t>
      </w:r>
    </w:p>
    <w:p>
      <w:pPr>
        <w:spacing w:after="140" w:before="100"/>
        <w:ind w:left="259" w:right="173"/>
        <w:shd w:fill="F2F4F7"/>
        <w:pBdr>
          <w:left w:val="single" w:sz="18" w:color="3867A8"/>
        </w:pBdr>
      </w:pPr>
      <w:r>
        <w:rPr>
          <w:rFonts w:ascii="Consolas" w:hAnsi="Consolas"/>
          <w:color w:val="24374E"/>
          <w:sz w:val="16"/>
        </w:rPr>
        <w:t>openrel:platformProcess a openrel:ProcessRules ;</w:t>
        <w:br/>
        <w:t xml:space="preserve">    dct:title "Platform download procedures"@en ;</w:t>
        <w:br/>
        <w:t xml:space="preserve">    odrl:permission [ a odrl:Permission ;</w:t>
        <w:br/>
        <w:t xml:space="preserve">        odrl:target &lt;https://example.org/dataset/1&gt; ;</w:t>
        <w:br/>
        <w:t xml:space="preserve">        odrl:action odrl:read ] .</w:t>
      </w:r>
    </w:p>
    <w:p>
      <w:pPr>
        <w:pStyle w:val="Heading2"/>
      </w:pPr>
      <w:r>
        <w:t>2.4 PolicyCollection</w:t>
      </w:r>
    </w:p>
    <w:p>
      <w:r>
        <w:t>IRI: openrel:PolicyCollection   |   Superclass: odrl:Policy</w:t>
      </w:r>
    </w:p>
    <w:p>
      <w:r>
        <w:t>A Policy Collection references constituent Policy IRIs using openrel:hasPolicy, with domain openrel:PolicyCollection and range odrl:Policy.</w:t>
      </w:r>
    </w:p>
    <w:p>
      <w:pPr>
        <w:spacing w:after="140" w:before="100"/>
        <w:ind w:left="259" w:right="173"/>
        <w:shd w:fill="F2F4F7"/>
        <w:pBdr>
          <w:left w:val="single" w:sz="18" w:color="3867A8"/>
        </w:pBdr>
      </w:pPr>
      <w:r>
        <w:rPr>
          <w:rFonts w:ascii="Consolas" w:hAnsi="Consolas"/>
          <w:color w:val="24374E"/>
          <w:sz w:val="16"/>
        </w:rPr>
        <w:t>openrel:combinedPolicy a openrel:PolicyCollection ;</w:t>
        <w:br/>
        <w:t xml:space="preserve">    dct:title "Dataset policy bundle"@en ;</w:t>
        <w:br/>
        <w:t xml:space="preserve">    openrel:hasPolicy openrel:licenceExample,</w:t>
        <w:br/>
        <w:t xml:space="preserve">        openrel:repositoryAccess, openrel:platformProcess .</w:t>
      </w:r>
    </w:p>
    <w:p>
      <w:pPr>
        <w:pStyle w:val="Heading1"/>
      </w:pPr>
      <w:r>
        <w:t>3. Policy properties</w:t>
      </w:r>
    </w:p>
    <w:p>
      <w:r>
        <w:t>The following table specifies supplementary OpenREL policy metadata properties and the constituent-policy relationship. The metadata properties share an OWL union domain comprising the four OpenREL Policy subclasses; openrel:hasPolicy has the narrower domain openrel:PolicyCollection.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Property</w:t>
            </w:r>
          </w:p>
        </w:tc>
        <w:tc>
          <w:tcPr>
            <w:tcW w:type="dxa" w:w="1728"/>
          </w:tcPr>
          <w:p>
            <w:r>
              <w:rPr>
                <w:b/>
                <w:sz w:val="16"/>
              </w:rPr>
              <w:t>Domain</w:t>
            </w:r>
          </w:p>
        </w:tc>
        <w:tc>
          <w:tcPr>
            <w:tcW w:type="dxa" w:w="1728"/>
          </w:tcPr>
          <w:p>
            <w:r>
              <w:rPr>
                <w:b/>
                <w:sz w:val="16"/>
              </w:rPr>
              <w:t>Range</w:t>
            </w:r>
          </w:p>
        </w:tc>
        <w:tc>
          <w:tcPr>
            <w:tcW w:type="dxa" w:w="1728"/>
          </w:tcPr>
          <w:p>
            <w:r>
              <w:rPr>
                <w:b/>
                <w:sz w:val="16"/>
              </w:rPr>
              <w:t>Group / notes</w:t>
            </w:r>
          </w:p>
        </w:tc>
        <w:tc>
          <w:tcPr>
            <w:tcW w:type="dxa" w:w="1728"/>
          </w:tcPr>
          <w:p>
            <w:r>
              <w:rPr>
                <w:b/>
                <w:sz w:val="16"/>
              </w:rPr>
              <w:t>Example (Turtle)</w:t>
            </w:r>
          </w:p>
        </w:tc>
      </w:tr>
      <w:tr>
        <w:tc>
          <w:tcPr>
            <w:tcW w:type="dxa" w:w="1728"/>
          </w:tcPr>
          <w:p>
            <w:r>
              <w:rPr>
                <w:sz w:val="16"/>
              </w:rPr>
              <w:t>openrel:accessType</w:t>
            </w:r>
          </w:p>
        </w:tc>
        <w:tc>
          <w:tcPr>
            <w:tcW w:type="dxa" w:w="1728"/>
          </w:tcPr>
          <w:p>
            <w:r>
              <w:rPr>
                <w:sz w:val="16"/>
              </w:rPr>
              <w:t>Policy subclasses¹</w:t>
            </w:r>
          </w:p>
        </w:tc>
        <w:tc>
          <w:tcPr>
            <w:tcW w:type="dxa" w:w="1728"/>
          </w:tcPr>
          <w:p>
            <w:r>
              <w:rPr>
                <w:sz w:val="16"/>
              </w:rPr>
              <w:t>skos:Concept</w:t>
            </w:r>
          </w:p>
        </w:tc>
        <w:tc>
          <w:tcPr>
            <w:tcW w:type="dxa" w:w="1728"/>
          </w:tcPr>
          <w:p>
            <w:r>
              <w:rPr>
                <w:sz w:val="16"/>
              </w:rPr>
              <w:t>Citation information.</w:t>
            </w:r>
          </w:p>
        </w:tc>
        <w:tc>
          <w:tcPr>
            <w:tcW w:type="dxa" w:w="1728"/>
          </w:tcPr>
          <w:p>
            <w:r>
              <w:rPr>
                <w:sz w:val="16"/>
              </w:rPr>
              <w:t>openrel:examplePolicy openrel:accessType openrel:openAccess .</w:t>
            </w:r>
          </w:p>
        </w:tc>
      </w:tr>
      <w:tr>
        <w:tc>
          <w:tcPr>
            <w:tcW w:type="dxa" w:w="1728"/>
          </w:tcPr>
          <w:p>
            <w:r>
              <w:rPr>
                <w:sz w:val="16"/>
              </w:rPr>
              <w:t>openrel:policyStatus</w:t>
            </w:r>
          </w:p>
        </w:tc>
        <w:tc>
          <w:tcPr>
            <w:tcW w:type="dxa" w:w="1728"/>
          </w:tcPr>
          <w:p>
            <w:r>
              <w:rPr>
                <w:sz w:val="16"/>
              </w:rPr>
              <w:t>Policy subclasses¹</w:t>
            </w:r>
          </w:p>
        </w:tc>
        <w:tc>
          <w:tcPr>
            <w:tcW w:type="dxa" w:w="1728"/>
          </w:tcPr>
          <w:p>
            <w:r>
              <w:rPr>
                <w:sz w:val="16"/>
              </w:rPr>
              <w:t>skos:Concept</w:t>
            </w:r>
          </w:p>
        </w:tc>
        <w:tc>
          <w:tcPr>
            <w:tcW w:type="dxa" w:w="1728"/>
          </w:tcPr>
          <w:p>
            <w:r>
              <w:rPr>
                <w:sz w:val="16"/>
              </w:rPr>
              <w:t>Coverage/status.</w:t>
            </w:r>
          </w:p>
        </w:tc>
        <w:tc>
          <w:tcPr>
            <w:tcW w:type="dxa" w:w="1728"/>
          </w:tcPr>
          <w:p>
            <w:r>
              <w:rPr>
                <w:sz w:val="16"/>
              </w:rPr>
              <w:t>openrel:examplePolicy openrel:policyStatus openrel:typeGlobalActive .</w:t>
            </w:r>
          </w:p>
        </w:tc>
      </w:tr>
      <w:tr>
        <w:tc>
          <w:tcPr>
            <w:tcW w:type="dxa" w:w="1728"/>
          </w:tcPr>
          <w:p>
            <w:r>
              <w:rPr>
                <w:sz w:val="16"/>
              </w:rPr>
              <w:t>openrel:jurisdiction</w:t>
            </w:r>
          </w:p>
        </w:tc>
        <w:tc>
          <w:tcPr>
            <w:tcW w:type="dxa" w:w="1728"/>
          </w:tcPr>
          <w:p>
            <w:r>
              <w:rPr>
                <w:sz w:val="16"/>
              </w:rPr>
              <w:t>Policy subclasses¹</w:t>
            </w:r>
          </w:p>
        </w:tc>
        <w:tc>
          <w:tcPr>
            <w:tcW w:type="dxa" w:w="1728"/>
          </w:tcPr>
          <w:p>
            <w:r>
              <w:rPr>
                <w:sz w:val="16"/>
              </w:rPr>
              <w:t>dct:Location</w:t>
            </w:r>
          </w:p>
        </w:tc>
        <w:tc>
          <w:tcPr>
            <w:tcW w:type="dxa" w:w="1728"/>
          </w:tcPr>
          <w:p>
            <w:r>
              <w:rPr>
                <w:sz w:val="16"/>
              </w:rPr>
              <w:t>Coverage; subproperty of cc:jurisdiction.</w:t>
            </w:r>
          </w:p>
        </w:tc>
        <w:tc>
          <w:tcPr>
            <w:tcW w:type="dxa" w:w="1728"/>
          </w:tcPr>
          <w:p>
            <w:r>
              <w:rPr>
                <w:sz w:val="16"/>
              </w:rPr>
              <w:t>openrel:examplePolicy openrel:jurisdiction openrel:worldwide .</w:t>
            </w:r>
          </w:p>
        </w:tc>
      </w:tr>
      <w:tr>
        <w:tc>
          <w:tcPr>
            <w:tcW w:type="dxa" w:w="1728"/>
          </w:tcPr>
          <w:p>
            <w:r>
              <w:rPr>
                <w:sz w:val="16"/>
              </w:rPr>
              <w:t>openrel:validityType</w:t>
            </w:r>
          </w:p>
        </w:tc>
        <w:tc>
          <w:tcPr>
            <w:tcW w:type="dxa" w:w="1728"/>
          </w:tcPr>
          <w:p>
            <w:r>
              <w:rPr>
                <w:sz w:val="16"/>
              </w:rPr>
              <w:t>Policy subclasses¹</w:t>
            </w:r>
          </w:p>
        </w:tc>
        <w:tc>
          <w:tcPr>
            <w:tcW w:type="dxa" w:w="1728"/>
          </w:tcPr>
          <w:p>
            <w:r>
              <w:rPr>
                <w:sz w:val="16"/>
              </w:rPr>
              <w:t>skos:Concept</w:t>
            </w:r>
          </w:p>
        </w:tc>
        <w:tc>
          <w:tcPr>
            <w:tcW w:type="dxa" w:w="1728"/>
          </w:tcPr>
          <w:p>
            <w:r>
              <w:rPr>
                <w:sz w:val="16"/>
              </w:rPr>
              <w:t>Coverage/temporal classification.</w:t>
            </w:r>
          </w:p>
        </w:tc>
        <w:tc>
          <w:tcPr>
            <w:tcW w:type="dxa" w:w="1728"/>
          </w:tcPr>
          <w:p>
            <w:r>
              <w:rPr>
                <w:sz w:val="16"/>
              </w:rPr>
              <w:t>openrel:examplePolicy openrel:validityType openrel:perpetual .</w:t>
            </w:r>
          </w:p>
        </w:tc>
      </w:tr>
      <w:tr>
        <w:tc>
          <w:tcPr>
            <w:tcW w:type="dxa" w:w="1728"/>
          </w:tcPr>
          <w:p>
            <w:r>
              <w:rPr>
                <w:sz w:val="16"/>
              </w:rPr>
              <w:t>openrel:liabilityLimitation</w:t>
            </w:r>
          </w:p>
        </w:tc>
        <w:tc>
          <w:tcPr>
            <w:tcW w:type="dxa" w:w="1728"/>
          </w:tcPr>
          <w:p>
            <w:r>
              <w:rPr>
                <w:sz w:val="16"/>
              </w:rPr>
              <w:t>Policy subclasses¹</w:t>
            </w:r>
          </w:p>
        </w:tc>
        <w:tc>
          <w:tcPr>
            <w:tcW w:type="dxa" w:w="1728"/>
          </w:tcPr>
          <w:p>
            <w:r>
              <w:rPr>
                <w:sz w:val="16"/>
              </w:rPr>
              <w:t>rdf:langString</w:t>
            </w:r>
          </w:p>
        </w:tc>
        <w:tc>
          <w:tcPr>
            <w:tcW w:type="dxa" w:w="1728"/>
          </w:tcPr>
          <w:p>
            <w:r>
              <w:rPr>
                <w:sz w:val="16"/>
              </w:rPr>
              <w:t>Disclaimers.</w:t>
            </w:r>
          </w:p>
        </w:tc>
        <w:tc>
          <w:tcPr>
            <w:tcW w:type="dxa" w:w="1728"/>
          </w:tcPr>
          <w:p>
            <w:r>
              <w:rPr>
                <w:sz w:val="16"/>
              </w:rPr>
              <w:t>openrel:examplePolicy openrel:liabilityLimitation "Liability is limited as specified."@en .</w:t>
            </w:r>
          </w:p>
        </w:tc>
      </w:tr>
      <w:tr>
        <w:tc>
          <w:tcPr>
            <w:tcW w:type="dxa" w:w="1728"/>
          </w:tcPr>
          <w:p>
            <w:r>
              <w:rPr>
                <w:sz w:val="16"/>
              </w:rPr>
              <w:t>openrel:warrantyNotice</w:t>
            </w:r>
          </w:p>
        </w:tc>
        <w:tc>
          <w:tcPr>
            <w:tcW w:type="dxa" w:w="1728"/>
          </w:tcPr>
          <w:p>
            <w:r>
              <w:rPr>
                <w:sz w:val="16"/>
              </w:rPr>
              <w:t>Policy subclasses¹</w:t>
            </w:r>
          </w:p>
        </w:tc>
        <w:tc>
          <w:tcPr>
            <w:tcW w:type="dxa" w:w="1728"/>
          </w:tcPr>
          <w:p>
            <w:r>
              <w:rPr>
                <w:sz w:val="16"/>
              </w:rPr>
              <w:t>rdf:langString</w:t>
            </w:r>
          </w:p>
        </w:tc>
        <w:tc>
          <w:tcPr>
            <w:tcW w:type="dxa" w:w="1728"/>
          </w:tcPr>
          <w:p>
            <w:r>
              <w:rPr>
                <w:sz w:val="16"/>
              </w:rPr>
              <w:t>Disclaimers.</w:t>
            </w:r>
          </w:p>
        </w:tc>
        <w:tc>
          <w:tcPr>
            <w:tcW w:type="dxa" w:w="1728"/>
          </w:tcPr>
          <w:p>
            <w:r>
              <w:rPr>
                <w:sz w:val="16"/>
              </w:rPr>
              <w:t>openrel:examplePolicy openrel:warrantyNotice "Provided as-is."@en .</w:t>
            </w:r>
          </w:p>
        </w:tc>
      </w:tr>
      <w:tr>
        <w:tc>
          <w:tcPr>
            <w:tcW w:type="dxa" w:w="1728"/>
          </w:tcPr>
          <w:p>
            <w:r>
              <w:rPr>
                <w:sz w:val="16"/>
              </w:rPr>
              <w:t>openrel:legalcode</w:t>
            </w:r>
          </w:p>
        </w:tc>
        <w:tc>
          <w:tcPr>
            <w:tcW w:type="dxa" w:w="1728"/>
          </w:tcPr>
          <w:p>
            <w:r>
              <w:rPr>
                <w:sz w:val="16"/>
              </w:rPr>
              <w:t>Policy subclasses¹</w:t>
            </w:r>
          </w:p>
        </w:tc>
        <w:tc>
          <w:tcPr>
            <w:tcW w:type="dxa" w:w="1728"/>
          </w:tcPr>
          <w:p>
            <w:r>
              <w:rPr>
                <w:sz w:val="16"/>
              </w:rPr>
              <w:t>rdfs:Resource</w:t>
            </w:r>
          </w:p>
        </w:tc>
        <w:tc>
          <w:tcPr>
            <w:tcW w:type="dxa" w:w="1728"/>
          </w:tcPr>
          <w:p>
            <w:r>
              <w:rPr>
                <w:sz w:val="16"/>
              </w:rPr>
              <w:t>Alternative representations.</w:t>
            </w:r>
          </w:p>
        </w:tc>
        <w:tc>
          <w:tcPr>
            <w:tcW w:type="dxa" w:w="1728"/>
          </w:tcPr>
          <w:p>
            <w:r>
              <w:rPr>
                <w:sz w:val="16"/>
              </w:rPr>
              <w:t>openrel:examplePolicy openrel:legalcode &lt;https://example.org/legalcode&gt; .</w:t>
            </w:r>
          </w:p>
        </w:tc>
      </w:tr>
      <w:tr>
        <w:tc>
          <w:tcPr>
            <w:tcW w:type="dxa" w:w="1728"/>
          </w:tcPr>
          <w:p>
            <w:r>
              <w:rPr>
                <w:sz w:val="16"/>
              </w:rPr>
              <w:t>openrel:policyTextHtml</w:t>
            </w:r>
          </w:p>
        </w:tc>
        <w:tc>
          <w:tcPr>
            <w:tcW w:type="dxa" w:w="1728"/>
          </w:tcPr>
          <w:p>
            <w:r>
              <w:rPr>
                <w:sz w:val="16"/>
              </w:rPr>
              <w:t>Policy subclasses¹</w:t>
            </w:r>
          </w:p>
        </w:tc>
        <w:tc>
          <w:tcPr>
            <w:tcW w:type="dxa" w:w="1728"/>
          </w:tcPr>
          <w:p>
            <w:r>
              <w:rPr>
                <w:sz w:val="16"/>
              </w:rPr>
              <w:t>rdfs:Resource</w:t>
            </w:r>
          </w:p>
        </w:tc>
        <w:tc>
          <w:tcPr>
            <w:tcW w:type="dxa" w:w="1728"/>
          </w:tcPr>
          <w:p>
            <w:r>
              <w:rPr>
                <w:sz w:val="16"/>
              </w:rPr>
              <w:t>Alternative representations.</w:t>
            </w:r>
          </w:p>
        </w:tc>
        <w:tc>
          <w:tcPr>
            <w:tcW w:type="dxa" w:w="1728"/>
          </w:tcPr>
          <w:p>
            <w:r>
              <w:rPr>
                <w:sz w:val="16"/>
              </w:rPr>
              <w:t>openrel:examplePolicy openrel:policyTextHtml &lt;https://example.org/licence.html&gt; .</w:t>
            </w:r>
          </w:p>
        </w:tc>
      </w:tr>
      <w:tr>
        <w:tc>
          <w:tcPr>
            <w:tcW w:type="dxa" w:w="1728"/>
          </w:tcPr>
          <w:p>
            <w:r>
              <w:rPr>
                <w:sz w:val="16"/>
              </w:rPr>
              <w:t>openrel:policyText</w:t>
            </w:r>
          </w:p>
        </w:tc>
        <w:tc>
          <w:tcPr>
            <w:tcW w:type="dxa" w:w="1728"/>
          </w:tcPr>
          <w:p>
            <w:r>
              <w:rPr>
                <w:sz w:val="16"/>
              </w:rPr>
              <w:t>Policy subclasses¹</w:t>
            </w:r>
          </w:p>
        </w:tc>
        <w:tc>
          <w:tcPr>
            <w:tcW w:type="dxa" w:w="1728"/>
          </w:tcPr>
          <w:p>
            <w:r>
              <w:rPr>
                <w:sz w:val="16"/>
              </w:rPr>
              <w:t>rdfs:Resource</w:t>
            </w:r>
          </w:p>
        </w:tc>
        <w:tc>
          <w:tcPr>
            <w:tcW w:type="dxa" w:w="1728"/>
          </w:tcPr>
          <w:p>
            <w:r>
              <w:rPr>
                <w:sz w:val="16"/>
              </w:rPr>
              <w:t>Alternative representations.</w:t>
            </w:r>
          </w:p>
        </w:tc>
        <w:tc>
          <w:tcPr>
            <w:tcW w:type="dxa" w:w="1728"/>
          </w:tcPr>
          <w:p>
            <w:r>
              <w:rPr>
                <w:sz w:val="16"/>
              </w:rPr>
              <w:t>openrel:examplePolicy openrel:policyText &lt;https://example.org/licence.txt&gt; .</w:t>
            </w:r>
          </w:p>
        </w:tc>
      </w:tr>
      <w:tr>
        <w:tc>
          <w:tcPr>
            <w:tcW w:type="dxa" w:w="1728"/>
          </w:tcPr>
          <w:p>
            <w:r>
              <w:rPr>
                <w:sz w:val="16"/>
              </w:rPr>
              <w:t>openrel:encodedRules</w:t>
            </w:r>
          </w:p>
        </w:tc>
        <w:tc>
          <w:tcPr>
            <w:tcW w:type="dxa" w:w="1728"/>
          </w:tcPr>
          <w:p>
            <w:r>
              <w:rPr>
                <w:sz w:val="16"/>
              </w:rPr>
              <w:t>Policy subclasses¹</w:t>
            </w:r>
          </w:p>
        </w:tc>
        <w:tc>
          <w:tcPr>
            <w:tcW w:type="dxa" w:w="1728"/>
          </w:tcPr>
          <w:p>
            <w:r>
              <w:rPr>
                <w:sz w:val="16"/>
              </w:rPr>
              <w:t>odrl:Policy</w:t>
            </w:r>
          </w:p>
        </w:tc>
        <w:tc>
          <w:tcPr>
            <w:tcW w:type="dxa" w:w="1728"/>
          </w:tcPr>
          <w:p>
            <w:r>
              <w:rPr>
                <w:sz w:val="16"/>
              </w:rPr>
              <w:t>Machine-readable representations.</w:t>
            </w:r>
          </w:p>
        </w:tc>
        <w:tc>
          <w:tcPr>
            <w:tcW w:type="dxa" w:w="1728"/>
          </w:tcPr>
          <w:p>
            <w:r>
              <w:rPr>
                <w:sz w:val="16"/>
              </w:rPr>
              <w:t>openrel:examplePolicy openrel:encodedRules openrel:licenceExample .</w:t>
            </w:r>
          </w:p>
        </w:tc>
      </w:tr>
      <w:tr>
        <w:tc>
          <w:tcPr>
            <w:tcW w:type="dxa" w:w="1728"/>
          </w:tcPr>
          <w:p>
            <w:r>
              <w:rPr>
                <w:sz w:val="16"/>
              </w:rPr>
              <w:t>openrel:hasPolicy</w:t>
            </w:r>
          </w:p>
        </w:tc>
        <w:tc>
          <w:tcPr>
            <w:tcW w:type="dxa" w:w="1728"/>
          </w:tcPr>
          <w:p>
            <w:r>
              <w:rPr>
                <w:sz w:val="16"/>
              </w:rPr>
              <w:t>openrel:PolicyCollection</w:t>
            </w:r>
          </w:p>
        </w:tc>
        <w:tc>
          <w:tcPr>
            <w:tcW w:type="dxa" w:w="1728"/>
          </w:tcPr>
          <w:p>
            <w:r>
              <w:rPr>
                <w:sz w:val="16"/>
              </w:rPr>
              <w:t>odrl:Policy</w:t>
            </w:r>
          </w:p>
        </w:tc>
        <w:tc>
          <w:tcPr>
            <w:tcW w:type="dxa" w:w="1728"/>
          </w:tcPr>
          <w:p>
            <w:r>
              <w:rPr>
                <w:sz w:val="16"/>
              </w:rPr>
              <w:t>Policy Collection composition.</w:t>
            </w:r>
          </w:p>
        </w:tc>
        <w:tc>
          <w:tcPr>
            <w:tcW w:type="dxa" w:w="1728"/>
          </w:tcPr>
          <w:p>
            <w:r>
              <w:rPr>
                <w:sz w:val="16"/>
              </w:rPr>
              <w:t>openrel:examplePolicy openrel:hasPolicy openrel:licenceExample, openrel:repositoryAccess .</w:t>
            </w:r>
          </w:p>
        </w:tc>
      </w:tr>
    </w:tbl>
    <w:p>
      <w:r>
        <w:t>¹ Policy subclasses = OWL union of openrel:Licence, openrel:AccessRules, openrel:ProcessRules and openrel:PolicyCollection.</w:t>
      </w:r>
    </w:p>
    <w:p>
      <w:pPr>
        <w:pStyle w:val="Heading1"/>
      </w:pPr>
      <w:r>
        <w:t>4. Policy Collection composition</w:t>
      </w:r>
    </w:p>
    <w:p>
      <w:r>
        <w:t>The constituent-policy relationship is expressed by openrel:hasPolicy, an owl:ObjectProperty and skos:Concept. Its domain is openrel:PolicyCollection and its range is odrl:Policy.</w:t>
      </w:r>
    </w:p>
    <w:p>
      <w:pPr>
        <w:spacing w:after="140" w:before="100"/>
        <w:ind w:left="259" w:right="173"/>
        <w:shd w:fill="F2F4F7"/>
        <w:pBdr>
          <w:left w:val="single" w:sz="18" w:color="3867A8"/>
        </w:pBdr>
      </w:pPr>
      <w:r>
        <w:rPr>
          <w:rFonts w:ascii="Consolas" w:hAnsi="Consolas"/>
          <w:color w:val="24374E"/>
          <w:sz w:val="16"/>
        </w:rPr>
        <w:t>openrel:hasPolicy a owl:ObjectProperty, skos:Concept ;</w:t>
        <w:br/>
        <w:t xml:space="preserve">    rdfs:domain openrel:PolicyCollection ;</w:t>
        <w:br/>
        <w:t xml:space="preserve">    rdfs:range odrl:Policy .</w:t>
      </w:r>
    </w:p>
    <w:p>
      <w:r>
        <w:rPr>
          <w:i/>
          <w:color w:val="914D1B"/>
        </w:rPr>
        <w:t># EDITORIAL: Define a SHACL sh:minCount 2 constraint for openrel:hasPolicy and a validated Asset Collection reference before treating these as conformance requirements. Evaluation records are specified separately.</w:t>
      </w:r>
    </w:p>
    <w:p>
      <w:pPr>
        <w:pStyle w:val="Heading1"/>
      </w:pPr>
      <w:r>
        <w:t>5. User context and assertions</w:t>
      </w:r>
    </w:p>
    <w:p>
      <w:r>
        <w:t>The guidance uses odrl:Assertion to encode user context such as researcher verification, institutional affiliation and organisation type. An Assertion can provide contextual claims for a Request; the vocabulary for user-context operands is documented separately. No new Assertion subclass is defined in the uploaded ontology.</w:t>
      </w:r>
    </w:p>
    <w:p>
      <w:pPr>
        <w:pStyle w:val="Heading1"/>
      </w:pPr>
      <w:r>
        <w:t>6. Conformance and profile considerations</w:t>
      </w:r>
    </w:p>
    <w:p>
      <w:r>
        <w:t>OpenREL Policy instances retain the semantics and constraints of their ODRL superclass. The ODRL Profile extension rules permit additional Policy subclasses subject to their disjointness requirements. Supplementary metadata properties do not constitute a separately sanctioned ODRL Profile extension mechanism.</w:t>
      </w:r>
    </w:p>
    <w:p>
      <w:pPr>
        <w:pStyle w:val="Heading1"/>
      </w:pPr>
      <w:r>
        <w:t>Annex A. Prefixes used in examples</w:t>
      </w:r>
    </w:p>
    <w:p>
      <w:pPr>
        <w:spacing w:after="140" w:before="100"/>
        <w:ind w:left="259" w:right="173"/>
        <w:shd w:fill="F2F4F7"/>
        <w:pBdr>
          <w:left w:val="single" w:sz="18" w:color="3867A8"/>
        </w:pBdr>
      </w:pPr>
      <w:r>
        <w:rPr>
          <w:rFonts w:ascii="Consolas" w:hAnsi="Consolas"/>
          <w:color w:val="24374E"/>
          <w:sz w:val="16"/>
        </w:rPr>
        <w:t>@prefix openrel: &lt;http://www.w3.org/ns/openrel/0/&gt; .</w:t>
        <w:br/>
        <w:t>@prefix odrl: &lt;http://www.w3.org/ns/odrl/2/&gt; .</w:t>
        <w:br/>
        <w:t>@prefix dct: &lt;http://purl.org/dc/terms/&gt; .</w:t>
        <w:br/>
        <w:t>@prefix skos: &lt;http://www.w3.org/2004/02/skos/core#&gt; .</w:t>
        <w:br/>
        <w:t>@prefix owl: &lt;http://www.w3.org/2002/07/owl#&gt; .</w:t>
        <w:br/>
        <w:t>@prefix rdfs: &lt;http://www.w3.org/2000/01/rdf-schema#&gt; .</w:t>
        <w:br/>
        <w:t>@prefix rdf: &lt;http://www.w3.org/1999/02/22-rdf-syntax-ns#&gt; .</w:t>
        <w:br/>
        <w:t>@prefix cc: &lt;http://creativecommons.org/ns#&gt; .</w:t>
      </w:r>
    </w:p>
    <w:p>
      <w:pPr>
        <w:pStyle w:val="Heading1"/>
      </w:pPr>
      <w:r>
        <w:t>Annex B. Source issues requiring resolution</w:t>
      </w:r>
    </w:p>
    <w:p>
      <w:r>
        <w:rPr>
          <w:i/>
          <w:color w:val="914D1B"/>
        </w:rPr>
        <w:t># EDITORIAL — Syntax: The schema requires correction of a missing period in the dalicclib prefix declaration; further syntax checks are required.</w:t>
      </w:r>
    </w:p>
    <w:p>
      <w:r>
        <w:rPr>
          <w:i/>
          <w:color w:val="914D1B"/>
        </w:rPr>
        <w:t># EDITORIAL — Disjointness: openrel:AccessRules and openrel:ProcessRules each appear in their own owl:disjointWith lists.</w:t>
      </w:r>
    </w:p>
    <w:p>
      <w:r>
        <w:rPr>
          <w:i/>
          <w:color w:val="914D1B"/>
        </w:rPr>
        <w:t># EDITORIAL — Cardinality: The PolicyCollection definition specifies “one or more”, while the hasPolicy note and guidance specify “at least two”.</w:t>
      </w:r>
    </w:p>
    <w:p>
      <w:r>
        <w:rPr>
          <w:i/>
          <w:color w:val="914D1B"/>
        </w:rPr>
        <w:t># EDITORIAL — Vocabulary references: trsp: and ccrel: require prefix declarations; some skos:seeAlso links need valid Turtle IRI syntax.</w:t>
      </w:r>
    </w:p>
    <w:p>
      <w:r>
        <w:rPr>
          <w:i/>
          <w:color w:val="914D1B"/>
        </w:rPr>
        <w:t># EDITORIAL — Datatype: Replace xsd:datetime with xsd:dateTime where applicable.</w:t>
      </w:r>
    </w:p>
    <w:p>
      <w:r>
        <w:rPr>
          <w:i/>
          <w:color w:val="914D1B"/>
        </w:rPr>
        <w:t># EDITORIAL — Asset Collection: Define a property or validation constraint for the required Asset Collection reference.</w:t>
      </w:r>
    </w:p>
    <w:p>
      <w:r>
        <w:rPr>
          <w:i/>
          <w:color w:val="914D1B"/>
        </w:rPr>
        <w:t># EDITORIAL — ODRL Profile: Verify the disjointness matrix and supplementary metadata semantics against the profile rules.</w:t>
      </w:r>
    </w:p>
    <w:p>
      <w:r>
        <w:rPr>
          <w:i/>
          <w:color w:val="914D1B"/>
        </w:rPr>
        <w:t># EDITORIAL — Examples: Illustrative IRIs and concepts need not be asserted in the published vocabulary.</w:t>
      </w:r>
    </w:p>
    <w:p>
      <w:r>
        <w:t>References: W3C ODRL Information Model, Policy section (https://www.w3.org/TR/odrl-model/#policy); OpenREL Policies guidance; ODRL Profile extension rules.</w:t>
      </w:r>
    </w:p>
    <w:sectPr w:rsidR="00FC693F" w:rsidRPr="0006063C" w:rsidSect="00034616">
      <w:headerReference w:type="default" r:id="rId9"/>
      <w:footerReference w:type="default" r:id="rId10"/>
      <w:pgSz w:w="12240" w:h="15840"/>
      <w:pgMar w:top="1152"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OpenREL Policies — Working Draft | Source-based editorial version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OpenREL  |  Information Model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5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55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355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5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