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A5F"/>
          <w:sz w:val="46"/>
          <w:szCs w:val="46"/>
        </w:rPr>
        <w:t xml:space="preserve">智能小车电机供电系统分析</w:t>
      </w:r>
    </w:p>
    <w:p>
      <w:pPr>
        <w:spacing w:before="220"/>
        <w:jc w:val="center"/>
      </w:pPr>
      <w:r>
        <w:rPr>
          <w:b/>
          <w:bCs/>
          <w:color w:val="3B6CA8"/>
          <w:sz w:val="32"/>
          <w:szCs w:val="32"/>
        </w:rPr>
        <w:t xml:space="preserve">LM2596 稳压模块负载能力评估与功率核算</w:t>
      </w:r>
    </w:p>
    <w:p>
      <w:pPr>
        <w:spacing w:before="560"/>
        <w:jc w:val="center"/>
      </w:pPr>
      <w:r>
        <w:rPr>
          <w:color w:val="767676"/>
          <w:sz w:val="24"/>
          <w:szCs w:val="24"/>
        </w:rPr>
        <w:t xml:space="preserve">故障现象：电机发出微弱嗡鸣但不转动，加并联杜邦线后恢复</w:t>
      </w:r>
    </w:p>
    <w:p>
      <w:pPr>
        <w:spacing w:before="160"/>
        <w:jc w:val="center"/>
      </w:pPr>
      <w:r>
        <w:rPr>
          <w:color w:val="767676"/>
          <w:sz w:val="24"/>
          <w:szCs w:val="24"/>
        </w:rPr>
        <w:t xml:space="preserve">编制日期：2026 年 9 月 5 日</w:t>
      </w:r>
    </w:p>
    <w:p>
      <w:pPr>
        <w:pageBreakBefore/>
      </w:pPr>
    </w:p>
    <w:p>
      <w:pPr>
        <w:pStyle w:val="Heading1"/>
      </w:pPr>
      <w:r>
        <w:t xml:space="preserve">1. 结论先行</w:t>
      </w:r>
    </w:p>
    <w:p>
      <w:pPr>
        <w:pStyle w:val="Note"/>
      </w:pPr>
      <w:r>
        <w:t xml:space="preserve">核心结论：LM2596 稳压模块的持续输出能力（典型 2A、芯片极限 3A）低于本系统的实际负载需求。在电机启动或堵转瞬间叠加 K230 视觉与气体传感器加热丝的常态电流后，总负载可达 3A 以上，稳压模块进入限流或热保护状态、输出电压跌落，TB6612 电机驱动因欠压无法建立有效转矩，表现为绕组通电但转子无法启动的嗡鸣现象。这是供电能力问题，而非软件问题。</w:t>
      </w:r>
    </w:p>
    <w:p>
      <w:pPr>
        <w:pStyle w:val="Body"/>
      </w:pPr>
      <w:r>
        <w:t xml:space="preserve">辅助放大因素是面包板与杜邦线的接触电阻。在数安培电流下，单个接触点的压降可达 1V 量级，进一步压缩了电机端的有效电压。用户实测在稳压模块与面包板电源轨之间并联一对杜邦线后故障消失，正是因为并联使该路径的接触电阻减半、压降随之下降。</w:t>
      </w:r>
    </w:p>
    <w:p>
      <w:pPr>
        <w:pStyle w:val="Heading1"/>
      </w:pPr>
      <w:r>
        <w:t xml:space="preserve">2. 系统供电架构与故障路径</w:t>
      </w:r>
    </w:p>
    <w:p>
      <w:pPr>
        <w:pStyle w:val="Body"/>
      </w:pPr>
      <w:r>
        <w:t xml:space="preserve">当前供电链路为：12V 3000mAh 锂电池组，经 LM2596 降压模块输出，送入面包板电源轨，再由面包板分发给 STM32F407 核心板、K230 视觉模块、LD2450 毫米波雷达、气体传感器、超声波模块、OLED、蓝牙模块以及 TB6612 的电机功率端 VM。</w:t>
      </w:r>
    </w:p>
    <w:p>
      <w:pPr>
        <w:pStyle w:val="Body"/>
      </w:pPr>
      <w:r>
        <w:t xml:space="preserve">这一架构的关键问题是：电机功率负载与敏感逻辑负载共用同一路降压输出与同一段面包板走线。电机启动和堵转时的电流冲击会直接拉低整条电源轨的电压，使单片机、传感器与驱动芯片同时进入欠压状态。</w:t>
      </w:r>
    </w:p>
    <w:p>
      <w:pPr>
        <w:pStyle w:val="ListParagraph"/>
        <w:numPr>
          <w:ilvl w:val="0"/>
          <w:numId w:val="2"/>
        </w:numPr>
        <w:spacing w:after="50" w:line="320"/>
      </w:pPr>
      <w:r>
        <w:rPr>
          <w:sz w:val="22"/>
          <w:szCs w:val="22"/>
        </w:rPr>
        <w:t xml:space="preserve">电池 12V 3000mAh，理论储能约 36Wh</w:t>
      </w:r>
    </w:p>
    <w:p>
      <w:pPr>
        <w:pStyle w:val="ListParagraph"/>
        <w:numPr>
          <w:ilvl w:val="0"/>
          <w:numId w:val="2"/>
        </w:numPr>
        <w:spacing w:after="50" w:line="320"/>
      </w:pPr>
      <w:r>
        <w:rPr>
          <w:sz w:val="22"/>
          <w:szCs w:val="22"/>
        </w:rPr>
        <w:t xml:space="preserve">LM2596 模块输出（实测需确认电压档位，常见设为 5V）</w:t>
      </w:r>
    </w:p>
    <w:p>
      <w:pPr>
        <w:pStyle w:val="ListParagraph"/>
        <w:numPr>
          <w:ilvl w:val="0"/>
          <w:numId w:val="2"/>
        </w:numPr>
        <w:spacing w:after="50" w:line="320"/>
      </w:pPr>
      <w:r>
        <w:rPr>
          <w:sz w:val="22"/>
          <w:szCs w:val="22"/>
        </w:rPr>
        <w:t xml:space="preserve">面包板电源轨 + 杜邦线（接触电阻不可忽略）</w:t>
      </w:r>
    </w:p>
    <w:p>
      <w:pPr>
        <w:pStyle w:val="ListParagraph"/>
        <w:numPr>
          <w:ilvl w:val="0"/>
          <w:numId w:val="2"/>
        </w:numPr>
        <w:spacing w:after="50" w:line="320"/>
      </w:pPr>
      <w:r>
        <w:rPr>
          <w:sz w:val="22"/>
          <w:szCs w:val="22"/>
        </w:rPr>
        <w:t xml:space="preserve">TB6612 的 VM 与 VCC、以及全部逻辑模块</w:t>
      </w:r>
    </w:p>
    <w:p>
      <w:pPr>
        <w:pStyle w:val="Heading1"/>
      </w:pPr>
      <w:r>
        <w:t xml:space="preserve">3. 负载电流与功率核算</w:t>
      </w:r>
    </w:p>
    <w:p>
      <w:pPr>
        <w:pStyle w:val="Heading2"/>
      </w:pPr>
      <w:r>
        <w:t xml:space="preserve">3.1 各模块电流估算</w:t>
      </w:r>
    </w:p>
    <w:p>
      <w:pPr>
        <w:pStyle w:val="Note"/>
      </w:pPr>
      <w:r>
        <w:t xml:space="preserve">说明：下表中标注"估算"的数值为同类模块的典型工作区间，非本机实测值，实际数值受模块型号、供电电压、工作负载影响较大，建议按第 7 节方法用万用表实测后替换。</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55"/>
          <w:left w:type="dxa" w:w="120"/>
          <w:bottom w:type="dxa" w:w="55"/>
          <w:right w:type="dxa" w:w="120"/>
        </w:tblCellMar>
      </w:tblPr>
      <w:tblGrid>
        <w:gridCol w:w="2900"/>
        <w:gridCol w:w="1300"/>
        <w:gridCol w:w="1750"/>
        <w:gridCol w:w="1600"/>
        <w:gridCol w:w="1810"/>
      </w:tblGrid>
      <w:tr>
        <w:trPr>
          <w:tblHeader/>
        </w:trPr>
        <w:tc>
          <w:tcPr>
            <w:tcW w:type="dxa" w:w="290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负载模块</w:t>
            </w:r>
          </w:p>
        </w:tc>
        <w:tc>
          <w:tcPr>
            <w:tcW w:type="dxa" w:w="130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电压</w:t>
            </w:r>
          </w:p>
        </w:tc>
        <w:tc>
          <w:tcPr>
            <w:tcW w:type="dxa" w:w="175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常态电流</w:t>
            </w:r>
          </w:p>
        </w:tc>
        <w:tc>
          <w:tcPr>
            <w:tcW w:type="dxa" w:w="160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峰值电流</w:t>
            </w:r>
          </w:p>
        </w:tc>
        <w:tc>
          <w:tcPr>
            <w:tcW w:type="dxa" w:w="181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备注</w:t>
            </w:r>
          </w:p>
        </w:tc>
      </w:tr>
      <w:tr>
        <w:tc>
          <w:tcPr>
            <w:tcW w:type="dxa" w:w="2900"/>
            <w:tcBorders>
              <w:top w:val="single" w:color="C9D4E0" w:sz="1"/>
              <w:left w:val="single" w:color="C9D4E0" w:sz="1"/>
              <w:bottom w:val="single" w:color="C9D4E0" w:sz="1"/>
              <w:right w:val="single" w:color="C9D4E0" w:sz="1"/>
            </w:tcBorders>
            <w:vAlign w:val="center"/>
          </w:tcPr>
          <w:p>
            <w:pPr>
              <w:jc w:val="left"/>
            </w:pPr>
            <w:r>
              <w:rPr>
                <w:b w:val="false"/>
                <w:bCs w:val="false"/>
                <w:color w:val="1A1A1A"/>
                <w:sz w:val="19"/>
                <w:szCs w:val="19"/>
              </w:rPr>
              <w:t xml:space="preserve">STM32F407 核心板</w:t>
            </w:r>
          </w:p>
        </w:tc>
        <w:tc>
          <w:tcPr>
            <w:tcW w:type="dxa" w:w="13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5V</w:t>
            </w:r>
          </w:p>
        </w:tc>
        <w:tc>
          <w:tcPr>
            <w:tcW w:type="dxa" w:w="175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约 0.10A（估算）</w:t>
            </w:r>
          </w:p>
        </w:tc>
        <w:tc>
          <w:tcPr>
            <w:tcW w:type="dxa" w:w="16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0.15A</w:t>
            </w:r>
          </w:p>
        </w:tc>
        <w:tc>
          <w:tcPr>
            <w:tcW w:type="dxa" w:w="181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主控与外设</w:t>
            </w:r>
          </w:p>
        </w:tc>
      </w:tr>
      <w:tr>
        <w:tc>
          <w:tcPr>
            <w:tcW w:type="dxa" w:w="2900"/>
            <w:tcBorders>
              <w:top w:val="single" w:color="C9D4E0" w:sz="1"/>
              <w:left w:val="single" w:color="C9D4E0" w:sz="1"/>
              <w:bottom w:val="single" w:color="C9D4E0" w:sz="1"/>
              <w:right w:val="single" w:color="C9D4E0" w:sz="1"/>
            </w:tcBorders>
            <w:shd w:fill="EEF3F8" w:val="clear"/>
            <w:vAlign w:val="center"/>
          </w:tcPr>
          <w:p>
            <w:pPr>
              <w:jc w:val="left"/>
            </w:pPr>
            <w:r>
              <w:rPr>
                <w:b w:val="false"/>
                <w:bCs w:val="false"/>
                <w:color w:val="1A1A1A"/>
                <w:sz w:val="19"/>
                <w:szCs w:val="19"/>
              </w:rPr>
              <w:t xml:space="preserve">K230 视觉模块</w:t>
            </w:r>
          </w:p>
        </w:tc>
        <w:tc>
          <w:tcPr>
            <w:tcW w:type="dxa" w:w="13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5V</w:t>
            </w:r>
          </w:p>
        </w:tc>
        <w:tc>
          <w:tcPr>
            <w:tcW w:type="dxa" w:w="175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约 1.20~1.80A（估算）</w:t>
            </w:r>
          </w:p>
        </w:tc>
        <w:tc>
          <w:tcPr>
            <w:tcW w:type="dxa" w:w="16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2.0A</w:t>
            </w:r>
          </w:p>
        </w:tc>
        <w:tc>
          <w:tcPr>
            <w:tcW w:type="dxa" w:w="181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运行 YOLO 推理时显著升高</w:t>
            </w:r>
          </w:p>
        </w:tc>
      </w:tr>
      <w:tr>
        <w:tc>
          <w:tcPr>
            <w:tcW w:type="dxa" w:w="2900"/>
            <w:tcBorders>
              <w:top w:val="single" w:color="C9D4E0" w:sz="1"/>
              <w:left w:val="single" w:color="C9D4E0" w:sz="1"/>
              <w:bottom w:val="single" w:color="C9D4E0" w:sz="1"/>
              <w:right w:val="single" w:color="C9D4E0" w:sz="1"/>
            </w:tcBorders>
            <w:vAlign w:val="center"/>
          </w:tcPr>
          <w:p>
            <w:pPr>
              <w:jc w:val="left"/>
            </w:pPr>
            <w:r>
              <w:rPr>
                <w:b w:val="false"/>
                <w:bCs w:val="false"/>
                <w:color w:val="1A1A1A"/>
                <w:sz w:val="19"/>
                <w:szCs w:val="19"/>
              </w:rPr>
              <w:t xml:space="preserve">LD2450 毫米波雷达</w:t>
            </w:r>
          </w:p>
        </w:tc>
        <w:tc>
          <w:tcPr>
            <w:tcW w:type="dxa" w:w="13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5V</w:t>
            </w:r>
          </w:p>
        </w:tc>
        <w:tc>
          <w:tcPr>
            <w:tcW w:type="dxa" w:w="175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约 0.08A（估算）</w:t>
            </w:r>
          </w:p>
        </w:tc>
        <w:tc>
          <w:tcPr>
            <w:tcW w:type="dxa" w:w="16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0.10A</w:t>
            </w:r>
          </w:p>
        </w:tc>
        <w:tc>
          <w:tcPr>
            <w:tcW w:type="dxa" w:w="181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持续上报</w:t>
            </w:r>
          </w:p>
        </w:tc>
      </w:tr>
      <w:tr>
        <w:tc>
          <w:tcPr>
            <w:tcW w:type="dxa" w:w="2900"/>
            <w:tcBorders>
              <w:top w:val="single" w:color="C9D4E0" w:sz="1"/>
              <w:left w:val="single" w:color="C9D4E0" w:sz="1"/>
              <w:bottom w:val="single" w:color="C9D4E0" w:sz="1"/>
              <w:right w:val="single" w:color="C9D4E0" w:sz="1"/>
            </w:tcBorders>
            <w:shd w:fill="EEF3F8" w:val="clear"/>
            <w:vAlign w:val="center"/>
          </w:tcPr>
          <w:p>
            <w:pPr>
              <w:jc w:val="left"/>
            </w:pPr>
            <w:r>
              <w:rPr>
                <w:b w:val="false"/>
                <w:bCs w:val="false"/>
                <w:color w:val="1A1A1A"/>
                <w:sz w:val="19"/>
                <w:szCs w:val="19"/>
              </w:rPr>
              <w:t xml:space="preserve">MQ-2 与 MQ-3 加热丝</w:t>
            </w:r>
          </w:p>
        </w:tc>
        <w:tc>
          <w:tcPr>
            <w:tcW w:type="dxa" w:w="13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5V</w:t>
            </w:r>
          </w:p>
        </w:tc>
        <w:tc>
          <w:tcPr>
            <w:tcW w:type="dxa" w:w="175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约 0.30A（估算）</w:t>
            </w:r>
          </w:p>
        </w:tc>
        <w:tc>
          <w:tcPr>
            <w:tcW w:type="dxa" w:w="16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0.35A</w:t>
            </w:r>
          </w:p>
        </w:tc>
        <w:tc>
          <w:tcPr>
            <w:tcW w:type="dxa" w:w="181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加热丝常态功耗，易被忽略</w:t>
            </w:r>
          </w:p>
        </w:tc>
      </w:tr>
      <w:tr>
        <w:tc>
          <w:tcPr>
            <w:tcW w:type="dxa" w:w="2900"/>
            <w:tcBorders>
              <w:top w:val="single" w:color="C9D4E0" w:sz="1"/>
              <w:left w:val="single" w:color="C9D4E0" w:sz="1"/>
              <w:bottom w:val="single" w:color="C9D4E0" w:sz="1"/>
              <w:right w:val="single" w:color="C9D4E0" w:sz="1"/>
            </w:tcBorders>
            <w:vAlign w:val="center"/>
          </w:tcPr>
          <w:p>
            <w:pPr>
              <w:jc w:val="left"/>
            </w:pPr>
            <w:r>
              <w:rPr>
                <w:b w:val="false"/>
                <w:bCs w:val="false"/>
                <w:color w:val="1A1A1A"/>
                <w:sz w:val="19"/>
                <w:szCs w:val="19"/>
              </w:rPr>
              <w:t xml:space="preserve">HC-SR04 超声波 ×4</w:t>
            </w:r>
          </w:p>
        </w:tc>
        <w:tc>
          <w:tcPr>
            <w:tcW w:type="dxa" w:w="13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5V</w:t>
            </w:r>
          </w:p>
        </w:tc>
        <w:tc>
          <w:tcPr>
            <w:tcW w:type="dxa" w:w="175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约 0.06A（估算）</w:t>
            </w:r>
          </w:p>
        </w:tc>
        <w:tc>
          <w:tcPr>
            <w:tcW w:type="dxa" w:w="16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0.08A</w:t>
            </w:r>
          </w:p>
        </w:tc>
        <w:tc>
          <w:tcPr>
            <w:tcW w:type="dxa" w:w="181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静态约 2mA，测距时约 15mA</w:t>
            </w:r>
          </w:p>
        </w:tc>
      </w:tr>
      <w:tr>
        <w:tc>
          <w:tcPr>
            <w:tcW w:type="dxa" w:w="2900"/>
            <w:tcBorders>
              <w:top w:val="single" w:color="C9D4E0" w:sz="1"/>
              <w:left w:val="single" w:color="C9D4E0" w:sz="1"/>
              <w:bottom w:val="single" w:color="C9D4E0" w:sz="1"/>
              <w:right w:val="single" w:color="C9D4E0" w:sz="1"/>
            </w:tcBorders>
            <w:shd w:fill="EEF3F8" w:val="clear"/>
            <w:vAlign w:val="center"/>
          </w:tcPr>
          <w:p>
            <w:pPr>
              <w:jc w:val="left"/>
            </w:pPr>
            <w:r>
              <w:rPr>
                <w:b w:val="false"/>
                <w:bCs w:val="false"/>
                <w:color w:val="1A1A1A"/>
                <w:sz w:val="19"/>
                <w:szCs w:val="19"/>
              </w:rPr>
              <w:t xml:space="preserve">OLED SSD1306</w:t>
            </w:r>
          </w:p>
        </w:tc>
        <w:tc>
          <w:tcPr>
            <w:tcW w:type="dxa" w:w="13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5V</w:t>
            </w:r>
          </w:p>
        </w:tc>
        <w:tc>
          <w:tcPr>
            <w:tcW w:type="dxa" w:w="175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约 0.02A（估算）</w:t>
            </w:r>
          </w:p>
        </w:tc>
        <w:tc>
          <w:tcPr>
            <w:tcW w:type="dxa" w:w="16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0.03A</w:t>
            </w:r>
          </w:p>
        </w:tc>
        <w:tc>
          <w:tcPr>
            <w:tcW w:type="dxa" w:w="181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全屏点亮</w:t>
            </w:r>
          </w:p>
        </w:tc>
      </w:tr>
      <w:tr>
        <w:tc>
          <w:tcPr>
            <w:tcW w:type="dxa" w:w="2900"/>
            <w:tcBorders>
              <w:top w:val="single" w:color="C9D4E0" w:sz="1"/>
              <w:left w:val="single" w:color="C9D4E0" w:sz="1"/>
              <w:bottom w:val="single" w:color="C9D4E0" w:sz="1"/>
              <w:right w:val="single" w:color="C9D4E0" w:sz="1"/>
            </w:tcBorders>
            <w:vAlign w:val="center"/>
          </w:tcPr>
          <w:p>
            <w:pPr>
              <w:jc w:val="left"/>
            </w:pPr>
            <w:r>
              <w:rPr>
                <w:b w:val="false"/>
                <w:bCs w:val="false"/>
                <w:color w:val="1A1A1A"/>
                <w:sz w:val="19"/>
                <w:szCs w:val="19"/>
              </w:rPr>
              <w:t xml:space="preserve">JDY-31 蓝牙</w:t>
            </w:r>
          </w:p>
        </w:tc>
        <w:tc>
          <w:tcPr>
            <w:tcW w:type="dxa" w:w="13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5V</w:t>
            </w:r>
          </w:p>
        </w:tc>
        <w:tc>
          <w:tcPr>
            <w:tcW w:type="dxa" w:w="175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约 0.05A（估算）</w:t>
            </w:r>
          </w:p>
        </w:tc>
        <w:tc>
          <w:tcPr>
            <w:tcW w:type="dxa" w:w="16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0.08A</w:t>
            </w:r>
          </w:p>
        </w:tc>
        <w:tc>
          <w:tcPr>
            <w:tcW w:type="dxa" w:w="181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发射瞬间</w:t>
            </w:r>
          </w:p>
        </w:tc>
      </w:tr>
      <w:tr>
        <w:tc>
          <w:tcPr>
            <w:tcW w:type="dxa" w:w="2900"/>
            <w:tcBorders>
              <w:top w:val="single" w:color="C9D4E0" w:sz="1"/>
              <w:left w:val="single" w:color="C9D4E0" w:sz="1"/>
              <w:bottom w:val="single" w:color="C9D4E0" w:sz="1"/>
              <w:right w:val="single" w:color="C9D4E0" w:sz="1"/>
            </w:tcBorders>
            <w:shd w:fill="EEF3F8" w:val="clear"/>
            <w:vAlign w:val="center"/>
          </w:tcPr>
          <w:p>
            <w:pPr>
              <w:jc w:val="left"/>
            </w:pPr>
            <w:r>
              <w:rPr>
                <w:b w:val="false"/>
                <w:bCs w:val="false"/>
                <w:color w:val="1A1A1A"/>
                <w:sz w:val="19"/>
                <w:szCs w:val="19"/>
              </w:rPr>
              <w:t xml:space="preserve">DHT11 与红外 ×2</w:t>
            </w:r>
          </w:p>
        </w:tc>
        <w:tc>
          <w:tcPr>
            <w:tcW w:type="dxa" w:w="13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5V</w:t>
            </w:r>
          </w:p>
        </w:tc>
        <w:tc>
          <w:tcPr>
            <w:tcW w:type="dxa" w:w="175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约 0.05A（估算）</w:t>
            </w:r>
          </w:p>
        </w:tc>
        <w:tc>
          <w:tcPr>
            <w:tcW w:type="dxa" w:w="16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0.08A</w:t>
            </w:r>
          </w:p>
        </w:tc>
        <w:tc>
          <w:tcPr>
            <w:tcW w:type="dxa" w:w="181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w:t>
            </w:r>
          </w:p>
        </w:tc>
      </w:tr>
      <w:tr>
        <w:tc>
          <w:tcPr>
            <w:tcW w:type="dxa" w:w="2900"/>
            <w:tcBorders>
              <w:top w:val="single" w:color="C9D4E0" w:sz="1"/>
              <w:left w:val="single" w:color="C9D4E0" w:sz="1"/>
              <w:bottom w:val="single" w:color="C9D4E0" w:sz="1"/>
              <w:right w:val="single" w:color="C9D4E0" w:sz="1"/>
            </w:tcBorders>
            <w:vAlign w:val="center"/>
          </w:tcPr>
          <w:p>
            <w:pPr>
              <w:jc w:val="left"/>
            </w:pPr>
            <w:r>
              <w:rPr>
                <w:b w:val="false"/>
                <w:bCs w:val="false"/>
                <w:color w:val="1A1A1A"/>
                <w:sz w:val="19"/>
                <w:szCs w:val="19"/>
              </w:rPr>
              <w:t xml:space="preserve">逻辑与传感小计</w:t>
            </w:r>
          </w:p>
        </w:tc>
        <w:tc>
          <w:tcPr>
            <w:tcW w:type="dxa" w:w="13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5V</w:t>
            </w:r>
          </w:p>
        </w:tc>
        <w:tc>
          <w:tcPr>
            <w:tcW w:type="dxa" w:w="175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约 1.9~2.5A（估算）</w:t>
            </w:r>
          </w:p>
        </w:tc>
        <w:tc>
          <w:tcPr>
            <w:tcW w:type="dxa" w:w="16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约 2.9A</w:t>
            </w:r>
          </w:p>
        </w:tc>
        <w:tc>
          <w:tcPr>
            <w:tcW w:type="dxa" w:w="181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不含电机</w:t>
            </w:r>
          </w:p>
        </w:tc>
      </w:tr>
      <w:tr>
        <w:tc>
          <w:tcPr>
            <w:tcW w:type="dxa" w:w="2900"/>
            <w:tcBorders>
              <w:top w:val="single" w:color="C9D4E0" w:sz="1"/>
              <w:left w:val="single" w:color="C9D4E0" w:sz="1"/>
              <w:bottom w:val="single" w:color="C9D4E0" w:sz="1"/>
              <w:right w:val="single" w:color="C9D4E0" w:sz="1"/>
            </w:tcBorders>
            <w:shd w:fill="EEF3F8" w:val="clear"/>
            <w:vAlign w:val="center"/>
          </w:tcPr>
          <w:p>
            <w:pPr>
              <w:jc w:val="left"/>
            </w:pPr>
            <w:r>
              <w:rPr>
                <w:b w:val="false"/>
                <w:bCs w:val="false"/>
                <w:color w:val="1A1A1A"/>
                <w:sz w:val="19"/>
                <w:szCs w:val="19"/>
              </w:rPr>
              <w:t xml:space="preserve">4× 直流电机 正常运行</w:t>
            </w:r>
          </w:p>
        </w:tc>
        <w:tc>
          <w:tcPr>
            <w:tcW w:type="dxa" w:w="13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VM</w:t>
            </w:r>
          </w:p>
        </w:tc>
        <w:tc>
          <w:tcPr>
            <w:tcW w:type="dxa" w:w="175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约 1.2~2.0A（估算）</w:t>
            </w:r>
          </w:p>
        </w:tc>
        <w:tc>
          <w:tcPr>
            <w:tcW w:type="dxa" w:w="16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2.5A</w:t>
            </w:r>
          </w:p>
        </w:tc>
        <w:tc>
          <w:tcPr>
            <w:tcW w:type="dxa" w:w="181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两两并联经 TB6612 两通道</w:t>
            </w:r>
          </w:p>
        </w:tc>
      </w:tr>
      <w:tr>
        <w:tc>
          <w:tcPr>
            <w:tcW w:type="dxa" w:w="2900"/>
            <w:tcBorders>
              <w:top w:val="single" w:color="C9D4E0" w:sz="1"/>
              <w:left w:val="single" w:color="C9D4E0" w:sz="1"/>
              <w:bottom w:val="single" w:color="C9D4E0" w:sz="1"/>
              <w:right w:val="single" w:color="C9D4E0" w:sz="1"/>
            </w:tcBorders>
            <w:shd w:fill="FBEAE7" w:val="clear"/>
            <w:vAlign w:val="center"/>
          </w:tcPr>
          <w:p>
            <w:pPr>
              <w:jc w:val="left"/>
            </w:pPr>
            <w:r>
              <w:rPr>
                <w:b/>
                <w:bCs/>
                <w:color w:val="1A1A1A"/>
                <w:sz w:val="19"/>
                <w:szCs w:val="19"/>
              </w:rPr>
              <w:t xml:space="preserve">4× 直流电机 堵转</w:t>
            </w:r>
          </w:p>
        </w:tc>
        <w:tc>
          <w:tcPr>
            <w:tcW w:type="dxa" w:w="1300"/>
            <w:tcBorders>
              <w:top w:val="single" w:color="C9D4E0" w:sz="1"/>
              <w:left w:val="single" w:color="C9D4E0" w:sz="1"/>
              <w:bottom w:val="single" w:color="C9D4E0" w:sz="1"/>
              <w:right w:val="single" w:color="C9D4E0" w:sz="1"/>
            </w:tcBorders>
            <w:shd w:fill="FBEAE7" w:val="clear"/>
            <w:vAlign w:val="center"/>
          </w:tcPr>
          <w:p>
            <w:pPr>
              <w:jc w:val="center"/>
            </w:pPr>
            <w:r>
              <w:rPr>
                <w:b/>
                <w:bCs/>
                <w:color w:val="1A1A1A"/>
                <w:sz w:val="19"/>
                <w:szCs w:val="19"/>
              </w:rPr>
              <w:t xml:space="preserve">VM</w:t>
            </w:r>
          </w:p>
        </w:tc>
        <w:tc>
          <w:tcPr>
            <w:tcW w:type="dxa" w:w="1750"/>
            <w:tcBorders>
              <w:top w:val="single" w:color="C9D4E0" w:sz="1"/>
              <w:left w:val="single" w:color="C9D4E0" w:sz="1"/>
              <w:bottom w:val="single" w:color="C9D4E0" w:sz="1"/>
              <w:right w:val="single" w:color="C9D4E0" w:sz="1"/>
            </w:tcBorders>
            <w:shd w:fill="FBEAE7" w:val="clear"/>
            <w:vAlign w:val="center"/>
          </w:tcPr>
          <w:p>
            <w:pPr>
              <w:jc w:val="center"/>
            </w:pPr>
            <w:r>
              <w:rPr>
                <w:b/>
                <w:bCs/>
                <w:color w:val="1A1A1A"/>
                <w:sz w:val="19"/>
                <w:szCs w:val="19"/>
              </w:rPr>
              <w:t xml:space="preserve">约 4~8A（估算）</w:t>
            </w:r>
          </w:p>
        </w:tc>
        <w:tc>
          <w:tcPr>
            <w:tcW w:type="dxa" w:w="1600"/>
            <w:tcBorders>
              <w:top w:val="single" w:color="C9D4E0" w:sz="1"/>
              <w:left w:val="single" w:color="C9D4E0" w:sz="1"/>
              <w:bottom w:val="single" w:color="C9D4E0" w:sz="1"/>
              <w:right w:val="single" w:color="C9D4E0" w:sz="1"/>
            </w:tcBorders>
            <w:shd w:fill="FBEAE7" w:val="clear"/>
            <w:vAlign w:val="center"/>
          </w:tcPr>
          <w:p>
            <w:pPr>
              <w:jc w:val="center"/>
            </w:pPr>
            <w:r>
              <w:rPr>
                <w:b/>
                <w:bCs/>
                <w:color w:val="1A1A1A"/>
                <w:sz w:val="19"/>
                <w:szCs w:val="19"/>
              </w:rPr>
              <w:t xml:space="preserve">8A</w:t>
            </w:r>
          </w:p>
        </w:tc>
        <w:tc>
          <w:tcPr>
            <w:tcW w:type="dxa" w:w="1810"/>
            <w:tcBorders>
              <w:top w:val="single" w:color="C9D4E0" w:sz="1"/>
              <w:left w:val="single" w:color="C9D4E0" w:sz="1"/>
              <w:bottom w:val="single" w:color="C9D4E0" w:sz="1"/>
              <w:right w:val="single" w:color="C9D4E0" w:sz="1"/>
            </w:tcBorders>
            <w:shd w:fill="FBEAE7" w:val="clear"/>
            <w:vAlign w:val="center"/>
          </w:tcPr>
          <w:p>
            <w:pPr>
              <w:jc w:val="center"/>
            </w:pPr>
            <w:r>
              <w:rPr>
                <w:b/>
                <w:bCs/>
                <w:color w:val="1A1A1A"/>
                <w:sz w:val="19"/>
                <w:szCs w:val="19"/>
              </w:rPr>
              <w:t xml:space="preserve">启动瞬间接近堵转电流</w:t>
            </w:r>
          </w:p>
        </w:tc>
      </w:tr>
    </w:tbl>
    <w:p>
      <w:pPr>
        <w:pStyle w:val="Cap"/>
      </w:pPr>
      <w:r>
        <w:t xml:space="preserve">表 1  各负载模块电流估算（标"估算"者为典型值区间，非实测）</w:t>
      </w:r>
    </w:p>
    <w:p>
      <w:pPr>
        <w:pStyle w:val="Heading2"/>
      </w:pPr>
      <w:r>
        <w:t xml:space="preserve">3.2 总负载与 LM2596 能力对比</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55"/>
          <w:left w:type="dxa" w:w="120"/>
          <w:bottom w:type="dxa" w:w="55"/>
          <w:right w:type="dxa" w:w="120"/>
        </w:tblCellMar>
      </w:tblPr>
      <w:tblGrid>
        <w:gridCol w:w="3200"/>
        <w:gridCol w:w="2400"/>
        <w:gridCol w:w="2200"/>
        <w:gridCol w:w="1560"/>
      </w:tblGrid>
      <w:tr>
        <w:trPr>
          <w:tblHeader/>
        </w:trPr>
        <w:tc>
          <w:tcPr>
            <w:tcW w:type="dxa" w:w="320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工况</w:t>
            </w:r>
          </w:p>
        </w:tc>
        <w:tc>
          <w:tcPr>
            <w:tcW w:type="dxa" w:w="240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总电流（估算）</w:t>
            </w:r>
          </w:p>
        </w:tc>
        <w:tc>
          <w:tcPr>
            <w:tcW w:type="dxa" w:w="220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5V 侧功率</w:t>
            </w:r>
          </w:p>
        </w:tc>
        <w:tc>
          <w:tcPr>
            <w:tcW w:type="dxa" w:w="156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是否超限</w:t>
            </w:r>
          </w:p>
        </w:tc>
      </w:tr>
      <w:tr>
        <w:tc>
          <w:tcPr>
            <w:tcW w:type="dxa" w:w="3200"/>
            <w:tcBorders>
              <w:top w:val="single" w:color="C9D4E0" w:sz="1"/>
              <w:left w:val="single" w:color="C9D4E0" w:sz="1"/>
              <w:bottom w:val="single" w:color="C9D4E0" w:sz="1"/>
              <w:right w:val="single" w:color="C9D4E0" w:sz="1"/>
            </w:tcBorders>
            <w:vAlign w:val="center"/>
          </w:tcPr>
          <w:p>
            <w:pPr>
              <w:jc w:val="left"/>
            </w:pPr>
            <w:r>
              <w:rPr>
                <w:b w:val="false"/>
                <w:bCs w:val="false"/>
                <w:color w:val="1A1A1A"/>
                <w:sz w:val="19"/>
                <w:szCs w:val="19"/>
              </w:rPr>
              <w:t xml:space="preserve">待机（电机停止）</w:t>
            </w:r>
          </w:p>
        </w:tc>
        <w:tc>
          <w:tcPr>
            <w:tcW w:type="dxa" w:w="24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约 1.9~2.5A</w:t>
            </w:r>
          </w:p>
        </w:tc>
        <w:tc>
          <w:tcPr>
            <w:tcW w:type="dxa" w:w="22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约 9.5~12.5W</w:t>
            </w:r>
          </w:p>
        </w:tc>
        <w:tc>
          <w:tcPr>
            <w:tcW w:type="dxa" w:w="156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临界</w:t>
            </w:r>
          </w:p>
        </w:tc>
      </w:tr>
      <w:tr>
        <w:tc>
          <w:tcPr>
            <w:tcW w:type="dxa" w:w="3200"/>
            <w:tcBorders>
              <w:top w:val="single" w:color="C9D4E0" w:sz="1"/>
              <w:left w:val="single" w:color="C9D4E0" w:sz="1"/>
              <w:bottom w:val="single" w:color="C9D4E0" w:sz="1"/>
              <w:right w:val="single" w:color="C9D4E0" w:sz="1"/>
            </w:tcBorders>
            <w:shd w:fill="FBEAE7" w:val="clear"/>
            <w:vAlign w:val="center"/>
          </w:tcPr>
          <w:p>
            <w:pPr>
              <w:jc w:val="left"/>
            </w:pPr>
            <w:r>
              <w:rPr>
                <w:b/>
                <w:bCs/>
                <w:color w:val="1A1A1A"/>
                <w:sz w:val="19"/>
                <w:szCs w:val="19"/>
              </w:rPr>
              <w:t xml:space="preserve">电机正常运行</w:t>
            </w:r>
          </w:p>
        </w:tc>
        <w:tc>
          <w:tcPr>
            <w:tcW w:type="dxa" w:w="2400"/>
            <w:tcBorders>
              <w:top w:val="single" w:color="C9D4E0" w:sz="1"/>
              <w:left w:val="single" w:color="C9D4E0" w:sz="1"/>
              <w:bottom w:val="single" w:color="C9D4E0" w:sz="1"/>
              <w:right w:val="single" w:color="C9D4E0" w:sz="1"/>
            </w:tcBorders>
            <w:shd w:fill="FBEAE7" w:val="clear"/>
            <w:vAlign w:val="center"/>
          </w:tcPr>
          <w:p>
            <w:pPr>
              <w:jc w:val="center"/>
            </w:pPr>
            <w:r>
              <w:rPr>
                <w:b/>
                <w:bCs/>
                <w:color w:val="1A1A1A"/>
                <w:sz w:val="19"/>
                <w:szCs w:val="19"/>
              </w:rPr>
              <w:t xml:space="preserve">约 3.1~4.5A</w:t>
            </w:r>
          </w:p>
        </w:tc>
        <w:tc>
          <w:tcPr>
            <w:tcW w:type="dxa" w:w="2200"/>
            <w:tcBorders>
              <w:top w:val="single" w:color="C9D4E0" w:sz="1"/>
              <w:left w:val="single" w:color="C9D4E0" w:sz="1"/>
              <w:bottom w:val="single" w:color="C9D4E0" w:sz="1"/>
              <w:right w:val="single" w:color="C9D4E0" w:sz="1"/>
            </w:tcBorders>
            <w:shd w:fill="FBEAE7" w:val="clear"/>
            <w:vAlign w:val="center"/>
          </w:tcPr>
          <w:p>
            <w:pPr>
              <w:jc w:val="center"/>
            </w:pPr>
            <w:r>
              <w:rPr>
                <w:b/>
                <w:bCs/>
                <w:color w:val="1A1A1A"/>
                <w:sz w:val="19"/>
                <w:szCs w:val="19"/>
              </w:rPr>
              <w:t xml:space="preserve">约 15.5~22.5W</w:t>
            </w:r>
          </w:p>
        </w:tc>
        <w:tc>
          <w:tcPr>
            <w:tcW w:type="dxa" w:w="1560"/>
            <w:tcBorders>
              <w:top w:val="single" w:color="C9D4E0" w:sz="1"/>
              <w:left w:val="single" w:color="C9D4E0" w:sz="1"/>
              <w:bottom w:val="single" w:color="C9D4E0" w:sz="1"/>
              <w:right w:val="single" w:color="C9D4E0" w:sz="1"/>
            </w:tcBorders>
            <w:shd w:fill="FBEAE7" w:val="clear"/>
            <w:vAlign w:val="center"/>
          </w:tcPr>
          <w:p>
            <w:pPr>
              <w:jc w:val="center"/>
            </w:pPr>
            <w:r>
              <w:rPr>
                <w:b/>
                <w:bCs/>
                <w:color w:val="1A1A1A"/>
                <w:sz w:val="19"/>
                <w:szCs w:val="19"/>
              </w:rPr>
              <w:t xml:space="preserve">超出</w:t>
            </w:r>
          </w:p>
        </w:tc>
      </w:tr>
      <w:tr>
        <w:tc>
          <w:tcPr>
            <w:tcW w:type="dxa" w:w="3200"/>
            <w:tcBorders>
              <w:top w:val="single" w:color="C9D4E0" w:sz="1"/>
              <w:left w:val="single" w:color="C9D4E0" w:sz="1"/>
              <w:bottom w:val="single" w:color="C9D4E0" w:sz="1"/>
              <w:right w:val="single" w:color="C9D4E0" w:sz="1"/>
            </w:tcBorders>
            <w:shd w:fill="FBEAE7" w:val="clear"/>
            <w:vAlign w:val="center"/>
          </w:tcPr>
          <w:p>
            <w:pPr>
              <w:jc w:val="left"/>
            </w:pPr>
            <w:r>
              <w:rPr>
                <w:b/>
                <w:bCs/>
                <w:color w:val="1A1A1A"/>
                <w:sz w:val="19"/>
                <w:szCs w:val="19"/>
              </w:rPr>
              <w:t xml:space="preserve">电机启动或堵转</w:t>
            </w:r>
          </w:p>
        </w:tc>
        <w:tc>
          <w:tcPr>
            <w:tcW w:type="dxa" w:w="2400"/>
            <w:tcBorders>
              <w:top w:val="single" w:color="C9D4E0" w:sz="1"/>
              <w:left w:val="single" w:color="C9D4E0" w:sz="1"/>
              <w:bottom w:val="single" w:color="C9D4E0" w:sz="1"/>
              <w:right w:val="single" w:color="C9D4E0" w:sz="1"/>
            </w:tcBorders>
            <w:shd w:fill="FBEAE7" w:val="clear"/>
            <w:vAlign w:val="center"/>
          </w:tcPr>
          <w:p>
            <w:pPr>
              <w:jc w:val="center"/>
            </w:pPr>
            <w:r>
              <w:rPr>
                <w:b/>
                <w:bCs/>
                <w:color w:val="1A1A1A"/>
                <w:sz w:val="19"/>
                <w:szCs w:val="19"/>
              </w:rPr>
              <w:t xml:space="preserve">约 6~10A</w:t>
            </w:r>
          </w:p>
        </w:tc>
        <w:tc>
          <w:tcPr>
            <w:tcW w:type="dxa" w:w="2200"/>
            <w:tcBorders>
              <w:top w:val="single" w:color="C9D4E0" w:sz="1"/>
              <w:left w:val="single" w:color="C9D4E0" w:sz="1"/>
              <w:bottom w:val="single" w:color="C9D4E0" w:sz="1"/>
              <w:right w:val="single" w:color="C9D4E0" w:sz="1"/>
            </w:tcBorders>
            <w:shd w:fill="FBEAE7" w:val="clear"/>
            <w:vAlign w:val="center"/>
          </w:tcPr>
          <w:p>
            <w:pPr>
              <w:jc w:val="center"/>
            </w:pPr>
            <w:r>
              <w:rPr>
                <w:b/>
                <w:bCs/>
                <w:color w:val="1A1A1A"/>
                <w:sz w:val="19"/>
                <w:szCs w:val="19"/>
              </w:rPr>
              <w:t xml:space="preserve">约 30~50W</w:t>
            </w:r>
          </w:p>
        </w:tc>
        <w:tc>
          <w:tcPr>
            <w:tcW w:type="dxa" w:w="1560"/>
            <w:tcBorders>
              <w:top w:val="single" w:color="C9D4E0" w:sz="1"/>
              <w:left w:val="single" w:color="C9D4E0" w:sz="1"/>
              <w:bottom w:val="single" w:color="C9D4E0" w:sz="1"/>
              <w:right w:val="single" w:color="C9D4E0" w:sz="1"/>
            </w:tcBorders>
            <w:shd w:fill="FBEAE7" w:val="clear"/>
            <w:vAlign w:val="center"/>
          </w:tcPr>
          <w:p>
            <w:pPr>
              <w:jc w:val="center"/>
            </w:pPr>
            <w:r>
              <w:rPr>
                <w:b/>
                <w:bCs/>
                <w:color w:val="1A1A1A"/>
                <w:sz w:val="19"/>
                <w:szCs w:val="19"/>
              </w:rPr>
              <w:t xml:space="preserve">严重超出</w:t>
            </w:r>
          </w:p>
        </w:tc>
      </w:tr>
    </w:tbl>
    <w:p>
      <w:pPr>
        <w:pStyle w:val="Cap"/>
      </w:pPr>
      <w:r>
        <w:t xml:space="preserve">表 2  总负载与 LM2596 输出能力对比</w:t>
      </w:r>
    </w:p>
    <w:p>
      <w:pPr>
        <w:pStyle w:val="Body"/>
      </w:pPr>
      <w:r>
        <w:t xml:space="preserve">LM2596 芯片本身标称最大输出电流 3A，但市面上常见的红色或蓝色小板模块由于散热铜箔面积有限、未加装散热片，厂商通常建议持续电流控制在 2A 以内，超过即可能触发热保护。由表 2 可见，即便电机不转，仅逻辑与传感部分（其中 K230 与 MQ 加热丝占大头）已接近或达到 2A 推荐上限；电机一旦启动，总需求立刻跨过 3A 芯片极限。</w:t>
      </w:r>
    </w:p>
    <w:p>
      <w:pPr>
        <w:pStyle w:val="Heading2"/>
      </w:pPr>
      <w:r>
        <w:t xml:space="preserve">3.3 稳压模块自身损耗核算</w:t>
      </w:r>
    </w:p>
    <w:p>
      <w:pPr>
        <w:pStyle w:val="Body"/>
      </w:pPr>
      <w:r>
        <w:t xml:space="preserve">以输出 5V 3A（15W）、转换效率 82% 估算：输入功率约 18.3W，模块自身耗散约 3.3W。LM2596 采用 TO-263 或 TO-220 封装，在无散热片、仅靠 PCB 铜箔散热的条件下，3.3W 足以使结温迅速上升并触发热关断保护（典型关断结温约 150 摄氏度）。热保护触发后输出电压跌落，电机随即停转；模块冷却后又恢复，如此反复，宏观表现即为时转时不转与嗡鸣。</w:t>
      </w:r>
    </w:p>
    <w:p>
      <w:pPr>
        <w:pStyle w:val="Body"/>
      </w:pPr>
      <w:r>
        <w:t xml:space="preserve">电池侧核算：12V 3000mAh 约 36Wh。若系统持续消耗 15W，理论续航约 2.4 小时；但输出 3A 时输入侧电流约 1.5A，对 3000mAh 电芯属 0.5C 放电，电压会有一定下垂，叠加接触电阻压降后进一步压缩了稳压模块的输入裕量（LM2596 需要输入高于输出约 1.2~1.5V 才能正常调节）。</w:t>
      </w:r>
    </w:p>
    <w:p>
      <w:pPr>
        <w:pStyle w:val="Heading1"/>
      </w:pPr>
      <w:r>
        <w:t xml:space="preserve">4. 为什么表现为"嗡鸣但不转"</w:t>
      </w:r>
    </w:p>
    <w:p>
      <w:pPr>
        <w:pStyle w:val="Body"/>
      </w:pPr>
      <w:r>
        <w:t xml:space="preserve">直流电机的启动需要克服静摩擦与转子惯量，启动电流通常是额定运行电流的数倍，并需维持足够长的时间以建立转速。当供电电压在启动瞬间被拉低时，会出现以下连锁反应：</w:t>
      </w:r>
    </w:p>
    <w:p>
      <w:pPr>
        <w:pStyle w:val="ListParagraph"/>
        <w:numPr>
          <w:ilvl w:val="0"/>
          <w:numId w:val="2"/>
        </w:numPr>
        <w:spacing w:after="50" w:line="320"/>
      </w:pPr>
      <w:r>
        <w:rPr>
          <w:sz w:val="22"/>
          <w:szCs w:val="22"/>
        </w:rPr>
        <w:t xml:space="preserve">电机端电压下降，绕组电流虽存在，但产生的电磁转矩不足以克服静摩擦与负载</w:t>
      </w:r>
    </w:p>
    <w:p>
      <w:pPr>
        <w:pStyle w:val="ListParagraph"/>
        <w:numPr>
          <w:ilvl w:val="0"/>
          <w:numId w:val="2"/>
        </w:numPr>
        <w:spacing w:after="50" w:line="320"/>
      </w:pPr>
      <w:r>
        <w:rPr>
          <w:sz w:val="22"/>
          <w:szCs w:val="22"/>
        </w:rPr>
        <w:t xml:space="preserve">转子停在某个位置反复尝试启动，绕组中流过脉动电流，产生可闻的电磁振动噪声，即嗡鸣</w:t>
      </w:r>
    </w:p>
    <w:p>
      <w:pPr>
        <w:pStyle w:val="ListParagraph"/>
        <w:numPr>
          <w:ilvl w:val="0"/>
          <w:numId w:val="2"/>
        </w:numPr>
        <w:spacing w:after="50" w:line="320"/>
      </w:pPr>
      <w:r>
        <w:rPr>
          <w:sz w:val="22"/>
          <w:szCs w:val="22"/>
        </w:rPr>
        <w:t xml:space="preserve">TB6612 的 VM 欠压时输出级无法提供额定电压，同时其内部保护可能介入</w:t>
      </w:r>
    </w:p>
    <w:p>
      <w:pPr>
        <w:pStyle w:val="ListParagraph"/>
        <w:numPr>
          <w:ilvl w:val="0"/>
          <w:numId w:val="2"/>
        </w:numPr>
        <w:spacing w:after="50" w:line="320"/>
      </w:pPr>
      <w:r>
        <w:rPr>
          <w:sz w:val="22"/>
          <w:szCs w:val="22"/>
        </w:rPr>
        <w:t xml:space="preserve">单片机与传感器由同一路供电，电压跌落还可能造成程序异常复位，形成故障循环</w:t>
      </w:r>
    </w:p>
    <w:p>
      <w:pPr>
        <w:pStyle w:val="Note"/>
      </w:pPr>
      <w:r>
        <w:t xml:space="preserve">这也解释了一个关键观察：软件侧检查显示 PWM 占空比、方向引脚、使能信号全部正常，电机却不动。因为问题不在控制信号的逻辑，而在功率级没有足够的电压与电流去执行这个信号。</w:t>
      </w:r>
    </w:p>
    <w:p>
      <w:pPr>
        <w:pStyle w:val="Heading1"/>
      </w:pPr>
      <w:r>
        <w:t xml:space="preserve">5. 面包板与杜邦线接触电阻的放大作用</w:t>
      </w:r>
    </w:p>
    <w:p>
      <w:pPr>
        <w:pStyle w:val="Body"/>
      </w:pPr>
      <w:r>
        <w:t xml:space="preserve">面包板簧片与杜邦线插针的接触电阻通常在数十毫欧到数百毫欧之间，氧化、插拔次数多、簧片疲劳时可达 1 欧姆量级。在大电流下这部分电阻产生的压降与发热不可忽视。</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55"/>
          <w:left w:type="dxa" w:w="120"/>
          <w:bottom w:type="dxa" w:w="55"/>
          <w:right w:type="dxa" w:w="120"/>
        </w:tblCellMar>
      </w:tblPr>
      <w:tblGrid>
        <w:gridCol w:w="3300"/>
        <w:gridCol w:w="2000"/>
        <w:gridCol w:w="2000"/>
        <w:gridCol w:w="2060"/>
      </w:tblGrid>
      <w:tr>
        <w:trPr>
          <w:tblHeader/>
        </w:trPr>
        <w:tc>
          <w:tcPr>
            <w:tcW w:type="dxa" w:w="330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供电路径</w:t>
            </w:r>
          </w:p>
        </w:tc>
        <w:tc>
          <w:tcPr>
            <w:tcW w:type="dxa" w:w="200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等效电阻</w:t>
            </w:r>
          </w:p>
        </w:tc>
        <w:tc>
          <w:tcPr>
            <w:tcW w:type="dxa" w:w="200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3A 时压降</w:t>
            </w:r>
          </w:p>
        </w:tc>
        <w:tc>
          <w:tcPr>
            <w:tcW w:type="dxa" w:w="206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损耗功率</w:t>
            </w:r>
          </w:p>
        </w:tc>
      </w:tr>
      <w:tr>
        <w:tc>
          <w:tcPr>
            <w:tcW w:type="dxa" w:w="3300"/>
            <w:tcBorders>
              <w:top w:val="single" w:color="C9D4E0" w:sz="1"/>
              <w:left w:val="single" w:color="C9D4E0" w:sz="1"/>
              <w:bottom w:val="single" w:color="C9D4E0" w:sz="1"/>
              <w:right w:val="single" w:color="C9D4E0" w:sz="1"/>
            </w:tcBorders>
            <w:shd w:fill="FBEAE7" w:val="clear"/>
            <w:vAlign w:val="center"/>
          </w:tcPr>
          <w:p>
            <w:pPr>
              <w:jc w:val="left"/>
            </w:pPr>
            <w:r>
              <w:rPr>
                <w:b/>
                <w:bCs/>
                <w:color w:val="1A1A1A"/>
                <w:sz w:val="19"/>
                <w:szCs w:val="19"/>
              </w:rPr>
              <w:t xml:space="preserve">单对杜邦线（含两端接触）</w:t>
            </w:r>
          </w:p>
        </w:tc>
        <w:tc>
          <w:tcPr>
            <w:tcW w:type="dxa" w:w="2000"/>
            <w:tcBorders>
              <w:top w:val="single" w:color="C9D4E0" w:sz="1"/>
              <w:left w:val="single" w:color="C9D4E0" w:sz="1"/>
              <w:bottom w:val="single" w:color="C9D4E0" w:sz="1"/>
              <w:right w:val="single" w:color="C9D4E0" w:sz="1"/>
            </w:tcBorders>
            <w:shd w:fill="FBEAE7" w:val="clear"/>
            <w:vAlign w:val="center"/>
          </w:tcPr>
          <w:p>
            <w:pPr>
              <w:jc w:val="center"/>
            </w:pPr>
            <w:r>
              <w:rPr>
                <w:b/>
                <w:bCs/>
                <w:color w:val="1A1A1A"/>
                <w:sz w:val="19"/>
                <w:szCs w:val="19"/>
              </w:rPr>
              <w:t xml:space="preserve">约 0.30Ω（估算）</w:t>
            </w:r>
          </w:p>
        </w:tc>
        <w:tc>
          <w:tcPr>
            <w:tcW w:type="dxa" w:w="2000"/>
            <w:tcBorders>
              <w:top w:val="single" w:color="C9D4E0" w:sz="1"/>
              <w:left w:val="single" w:color="C9D4E0" w:sz="1"/>
              <w:bottom w:val="single" w:color="C9D4E0" w:sz="1"/>
              <w:right w:val="single" w:color="C9D4E0" w:sz="1"/>
            </w:tcBorders>
            <w:shd w:fill="FBEAE7" w:val="clear"/>
            <w:vAlign w:val="center"/>
          </w:tcPr>
          <w:p>
            <w:pPr>
              <w:jc w:val="center"/>
            </w:pPr>
            <w:r>
              <w:rPr>
                <w:b/>
                <w:bCs/>
                <w:color w:val="1A1A1A"/>
                <w:sz w:val="19"/>
                <w:szCs w:val="19"/>
              </w:rPr>
              <w:t xml:space="preserve">约 0.90V</w:t>
            </w:r>
          </w:p>
        </w:tc>
        <w:tc>
          <w:tcPr>
            <w:tcW w:type="dxa" w:w="2060"/>
            <w:tcBorders>
              <w:top w:val="single" w:color="C9D4E0" w:sz="1"/>
              <w:left w:val="single" w:color="C9D4E0" w:sz="1"/>
              <w:bottom w:val="single" w:color="C9D4E0" w:sz="1"/>
              <w:right w:val="single" w:color="C9D4E0" w:sz="1"/>
            </w:tcBorders>
            <w:shd w:fill="FBEAE7" w:val="clear"/>
            <w:vAlign w:val="center"/>
          </w:tcPr>
          <w:p>
            <w:pPr>
              <w:jc w:val="center"/>
            </w:pPr>
            <w:r>
              <w:rPr>
                <w:b/>
                <w:bCs/>
                <w:color w:val="1A1A1A"/>
                <w:sz w:val="19"/>
                <w:szCs w:val="19"/>
              </w:rPr>
              <w:t xml:space="preserve">约 2.7W</w:t>
            </w:r>
          </w:p>
        </w:tc>
      </w:tr>
      <w:tr>
        <w:tc>
          <w:tcPr>
            <w:tcW w:type="dxa" w:w="3300"/>
            <w:tcBorders>
              <w:top w:val="single" w:color="C9D4E0" w:sz="1"/>
              <w:left w:val="single" w:color="C9D4E0" w:sz="1"/>
              <w:bottom w:val="single" w:color="C9D4E0" w:sz="1"/>
              <w:right w:val="single" w:color="C9D4E0" w:sz="1"/>
            </w:tcBorders>
            <w:shd w:fill="EEF3F8" w:val="clear"/>
            <w:vAlign w:val="center"/>
          </w:tcPr>
          <w:p>
            <w:pPr>
              <w:jc w:val="left"/>
            </w:pPr>
            <w:r>
              <w:rPr>
                <w:b w:val="false"/>
                <w:bCs w:val="false"/>
                <w:color w:val="1A1A1A"/>
                <w:sz w:val="19"/>
                <w:szCs w:val="19"/>
              </w:rPr>
              <w:t xml:space="preserve">两对杜邦线并联</w:t>
            </w:r>
          </w:p>
        </w:tc>
        <w:tc>
          <w:tcPr>
            <w:tcW w:type="dxa" w:w="20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约 0.15Ω（估算）</w:t>
            </w:r>
          </w:p>
        </w:tc>
        <w:tc>
          <w:tcPr>
            <w:tcW w:type="dxa" w:w="20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约 0.45V</w:t>
            </w:r>
          </w:p>
        </w:tc>
        <w:tc>
          <w:tcPr>
            <w:tcW w:type="dxa" w:w="206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约 1.35W</w:t>
            </w:r>
          </w:p>
        </w:tc>
      </w:tr>
      <w:tr>
        <w:tc>
          <w:tcPr>
            <w:tcW w:type="dxa" w:w="3300"/>
            <w:tcBorders>
              <w:top w:val="single" w:color="C9D4E0" w:sz="1"/>
              <w:left w:val="single" w:color="C9D4E0" w:sz="1"/>
              <w:bottom w:val="single" w:color="C9D4E0" w:sz="1"/>
              <w:right w:val="single" w:color="C9D4E0" w:sz="1"/>
            </w:tcBorders>
            <w:vAlign w:val="center"/>
          </w:tcPr>
          <w:p>
            <w:pPr>
              <w:jc w:val="left"/>
            </w:pPr>
            <w:r>
              <w:rPr>
                <w:b w:val="false"/>
                <w:bCs w:val="false"/>
                <w:color w:val="1A1A1A"/>
                <w:sz w:val="19"/>
                <w:szCs w:val="19"/>
              </w:rPr>
              <w:t xml:space="preserve">焊接或粗线直连</w:t>
            </w:r>
          </w:p>
        </w:tc>
        <w:tc>
          <w:tcPr>
            <w:tcW w:type="dxa" w:w="20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约 0.02Ω（估算）</w:t>
            </w:r>
          </w:p>
        </w:tc>
        <w:tc>
          <w:tcPr>
            <w:tcW w:type="dxa" w:w="20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约 0.06V</w:t>
            </w:r>
          </w:p>
        </w:tc>
        <w:tc>
          <w:tcPr>
            <w:tcW w:type="dxa" w:w="206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约 0.18W</w:t>
            </w:r>
          </w:p>
        </w:tc>
      </w:tr>
    </w:tbl>
    <w:p>
      <w:pPr>
        <w:pStyle w:val="Cap"/>
      </w:pPr>
      <w:r>
        <w:t xml:space="preserve">表 3  不同供电路径的压降对比（3A 工况）</w:t>
      </w:r>
    </w:p>
    <w:p>
      <w:pPr>
        <w:pStyle w:val="Body"/>
      </w:pPr>
      <w:r>
        <w:t xml:space="preserve">由表 3 可见，单对杜邦线在 3A 下会产生约 0.9V 压降，若稳压模块输出 5V，到达电机端的实际电压可能只剩 4.1V 左右，转矩大幅下降。并联第二对线后压降减半，电机端电压回升，这正好对应用户"加一对杜邦线就解决问题"的实测现象。</w:t>
      </w:r>
    </w:p>
    <w:p>
      <w:pPr>
        <w:pStyle w:val="Body"/>
      </w:pPr>
      <w:r>
        <w:t xml:space="preserve">至于后来撤掉并联线仍能运行，可从两方面解释：一是插拔过程本身刮擦并扩张了簧片接触面，使接触电阻永久性降低了一些；二是撤线时电机可能已处于运行状态（运行电流远小于启动电流），电压跌落不足以使其停转，但下次冷启动或堵转时故障很可能复现。这属于典型的间歇性接触不良特征，不能作为问题已解决的依据。</w:t>
      </w:r>
    </w:p>
    <w:p>
      <w:pPr>
        <w:pStyle w:val="Heading1"/>
      </w:pPr>
      <w:r>
        <w:t xml:space="preserve">6. 改进方案</w:t>
      </w:r>
    </w:p>
    <w:p>
      <w:pPr>
        <w:pStyle w:val="Heading2"/>
      </w:pPr>
      <w:r>
        <w:t xml:space="preserve">6.1 推荐方案：功率与逻辑分路供电</w:t>
      </w:r>
    </w:p>
    <w:p>
      <w:pPr>
        <w:pStyle w:val="ListParagraph"/>
        <w:numPr>
          <w:ilvl w:val="0"/>
          <w:numId w:val="2"/>
        </w:numPr>
        <w:spacing w:after="50" w:line="320"/>
      </w:pPr>
      <w:r>
        <w:rPr>
          <w:sz w:val="22"/>
          <w:szCs w:val="22"/>
        </w:rPr>
        <w:t xml:space="preserve">电机功率端 VM 直接由电池供电（TB6612 的 VM 允许较高电压），不经过 LM2596</w:t>
      </w:r>
    </w:p>
    <w:p>
      <w:pPr>
        <w:pStyle w:val="ListParagraph"/>
        <w:numPr>
          <w:ilvl w:val="0"/>
          <w:numId w:val="2"/>
        </w:numPr>
        <w:spacing w:after="50" w:line="320"/>
      </w:pPr>
      <w:r>
        <w:rPr>
          <w:sz w:val="22"/>
          <w:szCs w:val="22"/>
        </w:rPr>
        <w:t xml:space="preserve">逻辑部分单独使用一路稳压，且需按 K230 的实际电流选择模块</w:t>
      </w:r>
    </w:p>
    <w:p>
      <w:pPr>
        <w:pStyle w:val="ListParagraph"/>
        <w:numPr>
          <w:ilvl w:val="0"/>
          <w:numId w:val="2"/>
        </w:numPr>
        <w:spacing w:after="50" w:line="320"/>
      </w:pPr>
      <w:r>
        <w:rPr>
          <w:sz w:val="22"/>
          <w:szCs w:val="22"/>
        </w:rPr>
        <w:t xml:space="preserve">两路电源必须共地，否则电平基准不一致会造成通信与驱动异常</w:t>
      </w:r>
    </w:p>
    <w:p>
      <w:pPr>
        <w:pStyle w:val="ListParagraph"/>
        <w:numPr>
          <w:ilvl w:val="0"/>
          <w:numId w:val="2"/>
        </w:numPr>
        <w:spacing w:after="50" w:line="320"/>
      </w:pPr>
      <w:r>
        <w:rPr>
          <w:sz w:val="22"/>
          <w:szCs w:val="22"/>
        </w:rPr>
        <w:t xml:space="preserve">电机供电走线使用较粗导线并尽量短，避免经过面包板簧片</w:t>
      </w:r>
    </w:p>
    <w:p>
      <w:pPr>
        <w:pStyle w:val="Heading2"/>
      </w:pPr>
      <w:r>
        <w:t xml:space="preserve">6.2 若维持单路供电</w:t>
      </w:r>
    </w:p>
    <w:p>
      <w:pPr>
        <w:pStyle w:val="ListParagraph"/>
        <w:numPr>
          <w:ilvl w:val="0"/>
          <w:numId w:val="2"/>
        </w:numPr>
        <w:spacing w:after="50" w:line="320"/>
      </w:pPr>
      <w:r>
        <w:rPr>
          <w:sz w:val="22"/>
          <w:szCs w:val="22"/>
        </w:rPr>
        <w:t xml:space="preserve">更换更大电流的降压模块（持续 5A 及以上，带散热片），LM2596 的 3A 不足以覆盖本系统</w:t>
      </w:r>
    </w:p>
    <w:p>
      <w:pPr>
        <w:pStyle w:val="ListParagraph"/>
        <w:numPr>
          <w:ilvl w:val="0"/>
          <w:numId w:val="2"/>
        </w:numPr>
        <w:spacing w:after="50" w:line="320"/>
      </w:pPr>
      <w:r>
        <w:rPr>
          <w:sz w:val="22"/>
          <w:szCs w:val="22"/>
        </w:rPr>
        <w:t xml:space="preserve">在 TB6612 的 VM 就近并联大容量电解电容（1000 微法以上）与陶瓷电容，吸收启动冲击</w:t>
      </w:r>
    </w:p>
    <w:p>
      <w:pPr>
        <w:pStyle w:val="ListParagraph"/>
        <w:numPr>
          <w:ilvl w:val="0"/>
          <w:numId w:val="2"/>
        </w:numPr>
        <w:spacing w:after="50" w:line="320"/>
      </w:pPr>
      <w:r>
        <w:rPr>
          <w:sz w:val="22"/>
          <w:szCs w:val="22"/>
        </w:rPr>
        <w:t xml:space="preserve">降低电机 PWM 占空比上限或改为软启动斜坡，减小瞬时电流冲击</w:t>
      </w:r>
    </w:p>
    <w:p>
      <w:pPr>
        <w:pStyle w:val="ListParagraph"/>
        <w:numPr>
          <w:ilvl w:val="0"/>
          <w:numId w:val="2"/>
        </w:numPr>
        <w:spacing w:after="50" w:line="320"/>
      </w:pPr>
      <w:r>
        <w:rPr>
          <w:sz w:val="22"/>
          <w:szCs w:val="22"/>
        </w:rPr>
        <w:t xml:space="preserve">K230 若允许，单独使用一路 5V 供电，它是逻辑侧最大的电流消耗者</w:t>
      </w:r>
    </w:p>
    <w:p>
      <w:pPr>
        <w:pStyle w:val="Heading2"/>
      </w:pPr>
      <w:r>
        <w:t xml:space="preserve">6.3 通用注意事项</w:t>
      </w:r>
    </w:p>
    <w:p>
      <w:pPr>
        <w:pStyle w:val="ListParagraph"/>
        <w:numPr>
          <w:ilvl w:val="0"/>
          <w:numId w:val="2"/>
        </w:numPr>
        <w:spacing w:after="50" w:line="320"/>
      </w:pPr>
      <w:r>
        <w:rPr>
          <w:sz w:val="22"/>
          <w:szCs w:val="22"/>
        </w:rPr>
        <w:t xml:space="preserve">电池电量下降时内阻增大、端电压下垂，故障会更频繁，建议在电量充足时测试</w:t>
      </w:r>
    </w:p>
    <w:p>
      <w:pPr>
        <w:pStyle w:val="ListParagraph"/>
        <w:numPr>
          <w:ilvl w:val="0"/>
          <w:numId w:val="2"/>
        </w:numPr>
        <w:spacing w:after="50" w:line="320"/>
      </w:pPr>
      <w:r>
        <w:rPr>
          <w:sz w:val="22"/>
          <w:szCs w:val="22"/>
        </w:rPr>
        <w:t xml:space="preserve">MQ-2 与 MQ-3 的加热丝是持续负载，预热期电流较大，不应被忽略</w:t>
      </w:r>
    </w:p>
    <w:p>
      <w:pPr>
        <w:pStyle w:val="ListParagraph"/>
        <w:numPr>
          <w:ilvl w:val="0"/>
          <w:numId w:val="2"/>
        </w:numPr>
        <w:spacing w:after="50" w:line="320"/>
      </w:pPr>
      <w:r>
        <w:rPr>
          <w:sz w:val="22"/>
          <w:szCs w:val="22"/>
        </w:rPr>
        <w:t xml:space="preserve">避免用面包板承载电机功率电流，面包板簧片的额定电流通常仅 1A 量级</w:t>
      </w:r>
    </w:p>
    <w:p>
      <w:pPr>
        <w:pStyle w:val="Heading1"/>
      </w:pPr>
      <w:r>
        <w:t xml:space="preserve">7. 实测验证方法</w:t>
      </w:r>
    </w:p>
    <w:p>
      <w:pPr>
        <w:pStyle w:val="Body"/>
      </w:pPr>
      <w:r>
        <w:t xml:space="preserve">为把上述估算替换为确定数据，建议按以下步骤实测，每步都直接对应一个可验证的判断：</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55"/>
          <w:left w:type="dxa" w:w="120"/>
          <w:bottom w:type="dxa" w:w="55"/>
          <w:right w:type="dxa" w:w="120"/>
        </w:tblCellMar>
      </w:tblPr>
      <w:tblGrid>
        <w:gridCol w:w="1000"/>
        <w:gridCol w:w="3700"/>
        <w:gridCol w:w="2500"/>
        <w:gridCol w:w="2160"/>
      </w:tblGrid>
      <w:tr>
        <w:trPr>
          <w:tblHeader/>
        </w:trPr>
        <w:tc>
          <w:tcPr>
            <w:tcW w:type="dxa" w:w="100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序号</w:t>
            </w:r>
          </w:p>
        </w:tc>
        <w:tc>
          <w:tcPr>
            <w:tcW w:type="dxa" w:w="370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测量项目</w:t>
            </w:r>
          </w:p>
        </w:tc>
        <w:tc>
          <w:tcPr>
            <w:tcW w:type="dxa" w:w="250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测量方法</w:t>
            </w:r>
          </w:p>
        </w:tc>
        <w:tc>
          <w:tcPr>
            <w:tcW w:type="dxa" w:w="2160"/>
            <w:tcBorders>
              <w:top w:val="single" w:color="C9D4E0" w:sz="1"/>
              <w:left w:val="single" w:color="C9D4E0" w:sz="1"/>
              <w:bottom w:val="single" w:color="C9D4E0" w:sz="1"/>
              <w:right w:val="single" w:color="C9D4E0" w:sz="1"/>
            </w:tcBorders>
            <w:shd w:fill="1F3A5F" w:val="clear"/>
            <w:vAlign w:val="center"/>
          </w:tcPr>
          <w:p>
            <w:pPr>
              <w:jc w:val="center"/>
            </w:pPr>
            <w:r>
              <w:rPr>
                <w:b/>
                <w:bCs/>
                <w:color w:val="FFFFFF"/>
                <w:sz w:val="19"/>
                <w:szCs w:val="19"/>
              </w:rPr>
              <w:t xml:space="preserve">判据</w:t>
            </w:r>
          </w:p>
        </w:tc>
      </w:tr>
      <w:tr>
        <w:tc>
          <w:tcPr>
            <w:tcW w:type="dxa" w:w="1000"/>
            <w:tcBorders>
              <w:top w:val="single" w:color="C9D4E0" w:sz="1"/>
              <w:left w:val="single" w:color="C9D4E0" w:sz="1"/>
              <w:bottom w:val="single" w:color="C9D4E0" w:sz="1"/>
              <w:right w:val="single" w:color="C9D4E0" w:sz="1"/>
            </w:tcBorders>
            <w:vAlign w:val="center"/>
          </w:tcPr>
          <w:p>
            <w:pPr>
              <w:jc w:val="left"/>
            </w:pPr>
            <w:r>
              <w:rPr>
                <w:b w:val="false"/>
                <w:bCs w:val="false"/>
                <w:color w:val="1A1A1A"/>
                <w:sz w:val="19"/>
                <w:szCs w:val="19"/>
              </w:rPr>
              <w:t xml:space="preserve">1</w:t>
            </w:r>
          </w:p>
        </w:tc>
        <w:tc>
          <w:tcPr>
            <w:tcW w:type="dxa" w:w="37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稳压模块空载输出电压</w:t>
            </w:r>
          </w:p>
        </w:tc>
        <w:tc>
          <w:tcPr>
            <w:tcW w:type="dxa" w:w="25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万用表直流电压档量输出端</w:t>
            </w:r>
          </w:p>
        </w:tc>
        <w:tc>
          <w:tcPr>
            <w:tcW w:type="dxa" w:w="216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应等于设定值且稳定</w:t>
            </w:r>
          </w:p>
        </w:tc>
      </w:tr>
      <w:tr>
        <w:tc>
          <w:tcPr>
            <w:tcW w:type="dxa" w:w="1000"/>
            <w:tcBorders>
              <w:top w:val="single" w:color="C9D4E0" w:sz="1"/>
              <w:left w:val="single" w:color="C9D4E0" w:sz="1"/>
              <w:bottom w:val="single" w:color="C9D4E0" w:sz="1"/>
              <w:right w:val="single" w:color="C9D4E0" w:sz="1"/>
            </w:tcBorders>
            <w:shd w:fill="EEF3F8" w:val="clear"/>
            <w:vAlign w:val="center"/>
          </w:tcPr>
          <w:p>
            <w:pPr>
              <w:jc w:val="left"/>
            </w:pPr>
            <w:r>
              <w:rPr>
                <w:b w:val="false"/>
                <w:bCs w:val="false"/>
                <w:color w:val="1A1A1A"/>
                <w:sz w:val="19"/>
                <w:szCs w:val="19"/>
              </w:rPr>
              <w:t xml:space="preserve">2</w:t>
            </w:r>
          </w:p>
        </w:tc>
        <w:tc>
          <w:tcPr>
            <w:tcW w:type="dxa" w:w="37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电机运行时的模块输出电压</w:t>
            </w:r>
          </w:p>
        </w:tc>
        <w:tc>
          <w:tcPr>
            <w:tcW w:type="dxa" w:w="25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同上，电机转动时读取</w:t>
            </w:r>
          </w:p>
        </w:tc>
        <w:tc>
          <w:tcPr>
            <w:tcW w:type="dxa" w:w="216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跌落超过 0.3V 即供电不足</w:t>
            </w:r>
          </w:p>
        </w:tc>
      </w:tr>
      <w:tr>
        <w:tc>
          <w:tcPr>
            <w:tcW w:type="dxa" w:w="1000"/>
            <w:tcBorders>
              <w:top w:val="single" w:color="C9D4E0" w:sz="1"/>
              <w:left w:val="single" w:color="C9D4E0" w:sz="1"/>
              <w:bottom w:val="single" w:color="C9D4E0" w:sz="1"/>
              <w:right w:val="single" w:color="C9D4E0" w:sz="1"/>
            </w:tcBorders>
            <w:vAlign w:val="center"/>
          </w:tcPr>
          <w:p>
            <w:pPr>
              <w:jc w:val="left"/>
            </w:pPr>
            <w:r>
              <w:rPr>
                <w:b w:val="false"/>
                <w:bCs w:val="false"/>
                <w:color w:val="1A1A1A"/>
                <w:sz w:val="19"/>
                <w:szCs w:val="19"/>
              </w:rPr>
              <w:t xml:space="preserve">3</w:t>
            </w:r>
          </w:p>
        </w:tc>
        <w:tc>
          <w:tcPr>
            <w:tcW w:type="dxa" w:w="37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总电流</w:t>
            </w:r>
          </w:p>
        </w:tc>
        <w:tc>
          <w:tcPr>
            <w:tcW w:type="dxa" w:w="25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万用表电流档串入模块输出正极</w:t>
            </w:r>
          </w:p>
        </w:tc>
        <w:tc>
          <w:tcPr>
            <w:tcW w:type="dxa" w:w="216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持续超过 2A 即超推荐值</w:t>
            </w:r>
          </w:p>
        </w:tc>
      </w:tr>
      <w:tr>
        <w:tc>
          <w:tcPr>
            <w:tcW w:type="dxa" w:w="1000"/>
            <w:tcBorders>
              <w:top w:val="single" w:color="C9D4E0" w:sz="1"/>
              <w:left w:val="single" w:color="C9D4E0" w:sz="1"/>
              <w:bottom w:val="single" w:color="C9D4E0" w:sz="1"/>
              <w:right w:val="single" w:color="C9D4E0" w:sz="1"/>
            </w:tcBorders>
            <w:shd w:fill="EEF3F8" w:val="clear"/>
            <w:vAlign w:val="center"/>
          </w:tcPr>
          <w:p>
            <w:pPr>
              <w:jc w:val="left"/>
            </w:pPr>
            <w:r>
              <w:rPr>
                <w:b w:val="false"/>
                <w:bCs w:val="false"/>
                <w:color w:val="1A1A1A"/>
                <w:sz w:val="19"/>
                <w:szCs w:val="19"/>
              </w:rPr>
              <w:t xml:space="preserve">4</w:t>
            </w:r>
          </w:p>
        </w:tc>
        <w:tc>
          <w:tcPr>
            <w:tcW w:type="dxa" w:w="37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电机端 VM 电压</w:t>
            </w:r>
          </w:p>
        </w:tc>
        <w:tc>
          <w:tcPr>
            <w:tcW w:type="dxa" w:w="25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直接量 TB6612 的 VM 与 GND</w:t>
            </w:r>
          </w:p>
        </w:tc>
        <w:tc>
          <w:tcPr>
            <w:tcW w:type="dxa" w:w="216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明显低于模块输出即接触压降过大</w:t>
            </w:r>
          </w:p>
        </w:tc>
      </w:tr>
      <w:tr>
        <w:tc>
          <w:tcPr>
            <w:tcW w:type="dxa" w:w="1000"/>
            <w:tcBorders>
              <w:top w:val="single" w:color="C9D4E0" w:sz="1"/>
              <w:left w:val="single" w:color="C9D4E0" w:sz="1"/>
              <w:bottom w:val="single" w:color="C9D4E0" w:sz="1"/>
              <w:right w:val="single" w:color="C9D4E0" w:sz="1"/>
            </w:tcBorders>
            <w:vAlign w:val="center"/>
          </w:tcPr>
          <w:p>
            <w:pPr>
              <w:jc w:val="left"/>
            </w:pPr>
            <w:r>
              <w:rPr>
                <w:b w:val="false"/>
                <w:bCs w:val="false"/>
                <w:color w:val="1A1A1A"/>
                <w:sz w:val="19"/>
                <w:szCs w:val="19"/>
              </w:rPr>
              <w:t xml:space="preserve">5</w:t>
            </w:r>
          </w:p>
        </w:tc>
        <w:tc>
          <w:tcPr>
            <w:tcW w:type="dxa" w:w="37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各接触点压降</w:t>
            </w:r>
          </w:p>
        </w:tc>
        <w:tc>
          <w:tcPr>
            <w:tcW w:type="dxa" w:w="25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量杜邦线两端电压差</w:t>
            </w:r>
          </w:p>
        </w:tc>
        <w:tc>
          <w:tcPr>
            <w:tcW w:type="dxa" w:w="216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单点超过 0.1V 即接触不良</w:t>
            </w:r>
          </w:p>
        </w:tc>
      </w:tr>
      <w:tr>
        <w:tc>
          <w:tcPr>
            <w:tcW w:type="dxa" w:w="1000"/>
            <w:tcBorders>
              <w:top w:val="single" w:color="C9D4E0" w:sz="1"/>
              <w:left w:val="single" w:color="C9D4E0" w:sz="1"/>
              <w:bottom w:val="single" w:color="C9D4E0" w:sz="1"/>
              <w:right w:val="single" w:color="C9D4E0" w:sz="1"/>
            </w:tcBorders>
            <w:shd w:fill="EEF3F8" w:val="clear"/>
            <w:vAlign w:val="center"/>
          </w:tcPr>
          <w:p>
            <w:pPr>
              <w:jc w:val="left"/>
            </w:pPr>
            <w:r>
              <w:rPr>
                <w:b w:val="false"/>
                <w:bCs w:val="false"/>
                <w:color w:val="1A1A1A"/>
                <w:sz w:val="19"/>
                <w:szCs w:val="19"/>
              </w:rPr>
              <w:t xml:space="preserve">6</w:t>
            </w:r>
          </w:p>
        </w:tc>
        <w:tc>
          <w:tcPr>
            <w:tcW w:type="dxa" w:w="37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电机堵转电流</w:t>
            </w:r>
          </w:p>
        </w:tc>
        <w:tc>
          <w:tcPr>
            <w:tcW w:type="dxa" w:w="250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串电流表并锁住转轴（短时）</w:t>
            </w:r>
          </w:p>
        </w:tc>
        <w:tc>
          <w:tcPr>
            <w:tcW w:type="dxa" w:w="2160"/>
            <w:tcBorders>
              <w:top w:val="single" w:color="C9D4E0" w:sz="1"/>
              <w:left w:val="single" w:color="C9D4E0" w:sz="1"/>
              <w:bottom w:val="single" w:color="C9D4E0" w:sz="1"/>
              <w:right w:val="single" w:color="C9D4E0" w:sz="1"/>
            </w:tcBorders>
            <w:shd w:fill="EEF3F8" w:val="clear"/>
            <w:vAlign w:val="center"/>
          </w:tcPr>
          <w:p>
            <w:pPr>
              <w:jc w:val="center"/>
            </w:pPr>
            <w:r>
              <w:rPr>
                <w:b w:val="false"/>
                <w:bCs w:val="false"/>
                <w:color w:val="1A1A1A"/>
                <w:sz w:val="19"/>
                <w:szCs w:val="19"/>
              </w:rPr>
              <w:t xml:space="preserve">用于核算最坏工况</w:t>
            </w:r>
          </w:p>
        </w:tc>
      </w:tr>
      <w:tr>
        <w:tc>
          <w:tcPr>
            <w:tcW w:type="dxa" w:w="1000"/>
            <w:tcBorders>
              <w:top w:val="single" w:color="C9D4E0" w:sz="1"/>
              <w:left w:val="single" w:color="C9D4E0" w:sz="1"/>
              <w:bottom w:val="single" w:color="C9D4E0" w:sz="1"/>
              <w:right w:val="single" w:color="C9D4E0" w:sz="1"/>
            </w:tcBorders>
            <w:vAlign w:val="center"/>
          </w:tcPr>
          <w:p>
            <w:pPr>
              <w:jc w:val="left"/>
            </w:pPr>
            <w:r>
              <w:rPr>
                <w:b w:val="false"/>
                <w:bCs w:val="false"/>
                <w:color w:val="1A1A1A"/>
                <w:sz w:val="19"/>
                <w:szCs w:val="19"/>
              </w:rPr>
              <w:t xml:space="preserve">7</w:t>
            </w:r>
          </w:p>
        </w:tc>
        <w:tc>
          <w:tcPr>
            <w:tcW w:type="dxa" w:w="37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模块温升</w:t>
            </w:r>
          </w:p>
        </w:tc>
        <w:tc>
          <w:tcPr>
            <w:tcW w:type="dxa" w:w="250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运行 10 分钟后触摸或测温</w:t>
            </w:r>
          </w:p>
        </w:tc>
        <w:tc>
          <w:tcPr>
            <w:tcW w:type="dxa" w:w="2160"/>
            <w:tcBorders>
              <w:top w:val="single" w:color="C9D4E0" w:sz="1"/>
              <w:left w:val="single" w:color="C9D4E0" w:sz="1"/>
              <w:bottom w:val="single" w:color="C9D4E0" w:sz="1"/>
              <w:right w:val="single" w:color="C9D4E0" w:sz="1"/>
            </w:tcBorders>
            <w:vAlign w:val="center"/>
          </w:tcPr>
          <w:p>
            <w:pPr>
              <w:jc w:val="center"/>
            </w:pPr>
            <w:r>
              <w:rPr>
                <w:b w:val="false"/>
                <w:bCs w:val="false"/>
                <w:color w:val="1A1A1A"/>
                <w:sz w:val="19"/>
                <w:szCs w:val="19"/>
              </w:rPr>
              <w:t xml:space="preserve">明显烫手即接近热保护</w:t>
            </w:r>
          </w:p>
        </w:tc>
      </w:tr>
    </w:tbl>
    <w:p>
      <w:pPr>
        <w:pStyle w:val="Cap"/>
      </w:pPr>
      <w:r>
        <w:t xml:space="preserve">表 4  供电系统实测验证清单</w:t>
      </w:r>
    </w:p>
    <w:p>
      <w:pPr>
        <w:pStyle w:val="Note"/>
      </w:pPr>
      <w:r>
        <w:t xml:space="preserve">安全提示：测量电流时万用表需串入电路并选对档位与量程，切勿用电流档直接跨接电源两端，否则会形成短路。堵转电流测量应控制在数秒内，避免电机与驱动芯片过热。</w:t>
      </w:r>
    </w:p>
    <w:p>
      <w:pPr>
        <w:pStyle w:val="Heading1"/>
      </w:pPr>
      <w:r>
        <w:t xml:space="preserve">8. 小结</w:t>
      </w:r>
    </w:p>
    <w:p>
      <w:pPr>
        <w:pStyle w:val="Body"/>
      </w:pPr>
      <w:r>
        <w:t xml:space="preserve">本次故障的根因是供电能力不足而非控制逻辑错误：LM2596 的持续输出能力无法同时满足K230 视觉、气体传感器加热丝与四路电机的电流需求，叠加大电流下面包板接触电阻造成的额外压降，使电机端电压不足以建立启动转矩，因而出现嗡鸣但不转动的现象。</w:t>
      </w:r>
    </w:p>
    <w:p>
      <w:pPr>
        <w:pStyle w:val="Body"/>
      </w:pPr>
      <w:r>
        <w:t xml:space="preserve">建议采用功率与逻辑分路供电的方案，并将电机供电改为不经过面包板的直接连接，同时按第 7 节完成实测以替换本文中的估算值。改造完成后，还应复测电机在冷启动、堵转、长时间运行三种工况下的电压与电流，确认裕量充足。</w:t>
      </w:r>
    </w:p>
    <w:sectPr>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67676"/>
        <w:sz w:val="18"/>
        <w:szCs w:val="18"/>
      </w:rPr>
      <w:t xml:space="preserve">第 </w:t>
    </w:r>
    <w:r>
      <w:rPr>
        <w:color w:val="767676"/>
        <w:sz w:val="18"/>
        <w:szCs w:val="18"/>
      </w:rPr>
      <w:fldChar w:fldCharType="begin"/>
      <w:instrText xml:space="preserve">PAGE</w:instrText>
      <w:fldChar w:fldCharType="separate"/>
      <w:fldChar w:fldCharType="end"/>
    </w:r>
    <w:r>
      <w:rPr>
        <w:color w:val="767676"/>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微软雅黑"/>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eastAsia="微软雅黑"/>
      <w:b/>
      <w:bCs/>
      <w:color w:val="1F3A5F"/>
      <w:sz w:val="30"/>
      <w:szCs w:val="30"/>
    </w:rPr>
  </w:style>
  <w:style w:type="paragraph" w:styleId="Heading2">
    <w:name w:val="Heading 2"/>
    <w:basedOn w:val="Normal"/>
    <w:next w:val="Normal"/>
    <w:qFormat/>
    <w:pPr>
      <w:spacing w:after="110" w:before="220"/>
      <w:outlineLvl w:val="1"/>
    </w:pPr>
    <w:rPr>
      <w:rFonts w:ascii="Arial" w:eastAsia="微软雅黑"/>
      <w:b/>
      <w:bCs/>
      <w:color w:val="3B6CA8"/>
      <w:sz w:val="26"/>
      <w:szCs w:val="26"/>
    </w:rPr>
  </w:style>
  <w:style w:type="paragraph" w:styleId="Heading3">
    <w:name w:val="Heading 3"/>
    <w:basedOn w:val="Normal"/>
    <w:next w:val="Normal"/>
    <w:qFormat/>
    <w:pPr>
      <w:spacing w:after="70" w:before="170"/>
      <w:outlineLvl w:val="2"/>
    </w:pPr>
    <w:rPr>
      <w:rFonts w:ascii="Arial" w:eastAsia="微软雅黑"/>
      <w:b/>
      <w:bCs/>
      <w:color w:val="1A1A1A"/>
      <w:sz w:val="23"/>
      <w:szCs w:val="23"/>
    </w:rPr>
  </w:style>
  <w:style w:type="paragraph" w:styleId="Body">
    <w:name w:val="Body"/>
    <w:basedOn w:val="Normal"/>
    <w:pPr>
      <w:spacing w:after="110" w:line="340"/>
      <w:ind w:firstLine="440"/>
    </w:pPr>
    <w:rPr>
      <w:rFonts w:ascii="Arial" w:eastAsia="微软雅黑"/>
      <w:color w:val="1A1A1A"/>
      <w:sz w:val="22"/>
      <w:szCs w:val="22"/>
    </w:rPr>
  </w:style>
  <w:style w:type="paragraph" w:styleId="Cap">
    <w:name w:val="Cap"/>
    <w:basedOn w:val="Normal"/>
    <w:pPr>
      <w:spacing w:after="150" w:before="60"/>
      <w:jc w:val="center"/>
    </w:pPr>
    <w:rPr>
      <w:rFonts w:ascii="Arial" w:eastAsia="微软雅黑"/>
      <w:color w:val="767676"/>
      <w:sz w:val="18"/>
      <w:szCs w:val="18"/>
    </w:rPr>
  </w:style>
  <w:style w:type="paragraph" w:styleId="Note">
    <w:name w:val="Note"/>
    <w:basedOn w:val="Normal"/>
    <w:pPr>
      <w:spacing w:after="110" w:line="340"/>
      <w:ind w:firstLine="440"/>
    </w:pPr>
    <w:rPr>
      <w:rFonts w:ascii="Arial" w:eastAsia="微软雅黑"/>
      <w:color w:val="B03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2026-09-05T13:12:18.140Z</dcterms:created>
  <dcterms:modified xsi:type="dcterms:W3CDTF">2026-09-05T13:12:18.141Z</dcterms:modified>
</cp:coreProperties>
</file>

<file path=docProps/custom.xml><?xml version="1.0" encoding="utf-8"?>
<Properties xmlns="http://schemas.openxmlformats.org/officeDocument/2006/custom-properties" xmlns:vt="http://schemas.openxmlformats.org/officeDocument/2006/docPropsVTypes"/>
</file>