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3A5F"/>
          <w:sz w:val="52"/>
          <w:szCs w:val="52"/>
        </w:rPr>
        <w:t xml:space="preserve">多传感器融合智能避障小车</w:t>
      </w:r>
    </w:p>
    <w:p>
      <w:pPr>
        <w:spacing w:before="240"/>
        <w:jc w:val="center"/>
      </w:pPr>
      <w:r>
        <w:rPr>
          <w:b/>
          <w:bCs/>
          <w:color w:val="3B6CA8"/>
          <w:sz w:val="40"/>
          <w:szCs w:val="40"/>
        </w:rPr>
        <w:t xml:space="preserve">系统功能与作用说明</w:t>
      </w:r>
    </w:p>
    <w:p>
      <w:pPr>
        <w:spacing w:before="600"/>
        <w:jc w:val="center"/>
      </w:pPr>
      <w:r>
        <w:rPr>
          <w:color w:val="808080"/>
          <w:sz w:val="26"/>
          <w:szCs w:val="26"/>
        </w:rPr>
        <w:t xml:space="preserve">STM32F407VGT6 + K230 视觉 · FreeRTOS · 四级预警</w:t>
      </w:r>
    </w:p>
    <w:p>
      <w:pPr>
        <w:spacing w:before="200"/>
        <w:jc w:val="center"/>
      </w:pPr>
      <w:r>
        <w:rPr>
          <w:color w:val="808080"/>
          <w:sz w:val="26"/>
          <w:szCs w:val="26"/>
        </w:rPr>
        <w:t xml:space="preserve">编制日期：2026 年 8 月 28 日</w:t>
      </w:r>
    </w:p>
    <w:p>
      <w:pPr>
        <w:pageBreakBefore/>
      </w:pPr>
    </w:p>
    <w:p>
      <w:pPr>
        <w:pStyle w:val="Heading1"/>
      </w:pPr>
      <w:r>
        <w:t xml:space="preserve">1. 项目概述</w:t>
      </w:r>
    </w:p>
    <w:p>
      <w:pPr>
        <w:pStyle w:val="Body"/>
      </w:pPr>
      <w:r>
        <w:t xml:space="preserve">本项目为基于 STM32F407VGT6 主控的多传感器融合智能避障小车系统，运行 FreeRTOS 实时操作系统，以多任务方式并行完成传感采集、决策控制、电机驱动、蓝牙遥控、雷达与视觉融合、以及声光显示等功能。</w:t>
      </w:r>
    </w:p>
    <w:p>
      <w:pPr>
        <w:pStyle w:val="Body"/>
      </w:pPr>
      <w:r>
        <w:t xml:space="preserve">系统通过四路超声波、双路红外、毫米波雷达、K230 视觉、气体、温湿度、姿态等多源传感器协同感知环境，按四级预警模型分级响应，实现自动避障、减速、转向、掉头与紧急制动；同时支持手机蓝牙遥控与三种工作模式切换。</w:t>
      </w:r>
    </w:p>
    <w:p>
      <w:pPr>
        <w:pStyle w:val="Heading1"/>
      </w:pPr>
      <w:r>
        <w:t xml:space="preserve">2. 硬件模块组成</w:t>
      </w:r>
    </w:p>
    <w:p>
      <w:pPr>
        <w:pStyle w:val="Body"/>
      </w:pPr>
      <w:r>
        <w:t xml:space="preserve">系统主要外设及其引脚分配如下表，与《毕设引脚分配表 STM32F407VGT6（V2 定稿）》保持一致。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200"/>
        <w:gridCol w:w="2500"/>
        <w:gridCol w:w="1600"/>
        <w:gridCol w:w="3060"/>
      </w:tblGrid>
      <w:tr>
        <w:trPr>
          <w:tblHeader/>
        </w:trPr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信号 / 引脚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30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HC-SR04 超声波 ×4</w:t>
            </w:r>
          </w:p>
        </w:tc>
        <w:tc>
          <w:tcPr>
            <w:tcW w:type="dxa" w:w="2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前 PE2/PA0，左 PE3/PA1，右 PE4/PA2，后 PE5/PA3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GPIO + TIM5 输入捕获</w:t>
            </w:r>
          </w:p>
        </w:tc>
        <w:tc>
          <w:tcPr>
            <w:tcW w:type="dxa" w:w="30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四方向测距，参与 1/2/4 级预警与转向选向</w:t>
            </w:r>
          </w:p>
        </w:tc>
      </w:tr>
      <w:tr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TCRT5000 红外 ×2</w:t>
            </w:r>
          </w:p>
        </w:tc>
        <w:tc>
          <w:tcPr>
            <w:tcW w:type="dxa" w:w="2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左前 PE6，右前 PE7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GPIO 输入</w:t>
            </w:r>
          </w:p>
        </w:tc>
        <w:tc>
          <w:tcPr>
            <w:tcW w:type="dxa" w:w="30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近距障碍检测，仅反馈三级预警</w:t>
            </w:r>
          </w:p>
        </w:tc>
      </w:tr>
      <w:tr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MPU6050 姿态</w:t>
            </w:r>
          </w:p>
        </w:tc>
        <w:tc>
          <w:tcPr>
            <w:tcW w:type="dxa" w:w="2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SCL/SDA = PB6/PB7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I2C1</w:t>
            </w:r>
          </w:p>
        </w:tc>
        <w:tc>
          <w:tcPr>
            <w:tcW w:type="dxa" w:w="30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航向积分，直行纠偏</w:t>
            </w:r>
          </w:p>
        </w:tc>
      </w:tr>
      <w:tr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MQ-2 烟雾 / MQ-3 酒精</w:t>
            </w:r>
          </w:p>
        </w:tc>
        <w:tc>
          <w:tcPr>
            <w:tcW w:type="dxa" w:w="2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PC0 / PC1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ADC1</w:t>
            </w:r>
          </w:p>
        </w:tc>
        <w:tc>
          <w:tcPr>
            <w:tcW w:type="dxa" w:w="30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气体浓度超标触发四级警报</w:t>
            </w:r>
          </w:p>
        </w:tc>
      </w:tr>
      <w:tr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DHT11 温湿度</w:t>
            </w:r>
          </w:p>
        </w:tc>
        <w:tc>
          <w:tcPr>
            <w:tcW w:type="dxa" w:w="2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PE8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GPIO 单总线</w:t>
            </w:r>
          </w:p>
        </w:tc>
        <w:tc>
          <w:tcPr>
            <w:tcW w:type="dxa" w:w="30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环境温湿度采集与显示</w:t>
            </w:r>
          </w:p>
        </w:tc>
      </w:tr>
      <w:tr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TB6612 电机驱动</w:t>
            </w:r>
          </w:p>
        </w:tc>
        <w:tc>
          <w:tcPr>
            <w:tcW w:type="dxa" w:w="2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PWMA PA6，PWMB PA7，方向 PE9~PE12，STBY PE13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TIM3 PWM + GPIO</w:t>
            </w:r>
          </w:p>
        </w:tc>
        <w:tc>
          <w:tcPr>
            <w:tcW w:type="dxa" w:w="30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驱动四只直流电机（左右两路）</w:t>
            </w:r>
          </w:p>
        </w:tc>
      </w:tr>
      <w:tr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JDY-31 蓝牙</w:t>
            </w:r>
          </w:p>
        </w:tc>
        <w:tc>
          <w:tcPr>
            <w:tcW w:type="dxa" w:w="2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TX/RX = PA9/PA10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USART1 9600</w:t>
            </w:r>
          </w:p>
        </w:tc>
        <w:tc>
          <w:tcPr>
            <w:tcW w:type="dxa" w:w="30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手机遥控与状态回传</w:t>
            </w:r>
          </w:p>
        </w:tc>
      </w:tr>
      <w:tr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OLED 0.96 寸</w:t>
            </w:r>
          </w:p>
        </w:tc>
        <w:tc>
          <w:tcPr>
            <w:tcW w:type="dxa" w:w="2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SCL/SDA = PB10/PB11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I2C2</w:t>
            </w:r>
          </w:p>
        </w:tc>
        <w:tc>
          <w:tcPr>
            <w:tcW w:type="dxa" w:w="30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实时显示模式、距离、预警等级</w:t>
            </w:r>
          </w:p>
        </w:tc>
      </w:tr>
      <w:tr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LD2450 毫米波雷达</w:t>
            </w:r>
          </w:p>
        </w:tc>
        <w:tc>
          <w:tcPr>
            <w:tcW w:type="dxa" w:w="2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TX/RX = PC6/PC7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USART6 256000</w:t>
            </w:r>
          </w:p>
        </w:tc>
        <w:tc>
          <w:tcPr>
            <w:tcW w:type="dxa" w:w="30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目标距离探测，参与 1/2 级预警与融合</w:t>
            </w:r>
          </w:p>
        </w:tc>
      </w:tr>
      <w:tr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K230 视觉模块</w:t>
            </w:r>
          </w:p>
        </w:tc>
        <w:tc>
          <w:tcPr>
            <w:tcW w:type="dxa" w:w="2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TX/RX = PC10/PC11（预留）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USART3</w:t>
            </w:r>
          </w:p>
        </w:tc>
        <w:tc>
          <w:tcPr>
            <w:tcW w:type="dxa" w:w="30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识别人体/车辆，参与一级预警</w:t>
            </w:r>
          </w:p>
        </w:tc>
      </w:tr>
      <w:tr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蜂鸣器（无源）</w:t>
            </w:r>
          </w:p>
        </w:tc>
        <w:tc>
          <w:tcPr>
            <w:tcW w:type="dxa" w:w="2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PD12 = TIM4_CH1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PWM</w:t>
            </w:r>
          </w:p>
        </w:tc>
        <w:tc>
          <w:tcPr>
            <w:tcW w:type="dxa" w:w="30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分级发声报警</w:t>
            </w:r>
          </w:p>
        </w:tc>
      </w:tr>
      <w:tr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LED ×3</w:t>
            </w:r>
          </w:p>
        </w:tc>
        <w:tc>
          <w:tcPr>
            <w:tcW w:type="dxa" w:w="2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绿 PE14 / 黄 PE15 / 红 PB5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GPIO</w:t>
            </w:r>
          </w:p>
        </w:tc>
        <w:tc>
          <w:tcPr>
            <w:tcW w:type="dxa" w:w="30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预警等级声光指示</w:t>
            </w:r>
          </w:p>
        </w:tc>
      </w:tr>
      <w:tr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模式按键 ×3</w:t>
            </w:r>
          </w:p>
        </w:tc>
        <w:tc>
          <w:tcPr>
            <w:tcW w:type="dxa" w:w="2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PD0 / PD1 / PD2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GPIO 上拉输入</w:t>
            </w:r>
          </w:p>
        </w:tc>
        <w:tc>
          <w:tcPr>
            <w:tcW w:type="dxa" w:w="30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切换模式 1/2/3</w:t>
            </w:r>
          </w:p>
        </w:tc>
      </w:tr>
    </w:tbl>
    <w:p>
      <w:pPr>
        <w:pStyle w:val="Caption"/>
      </w:pPr>
      <w:r>
        <w:t xml:space="preserve">表 1  系统硬件模块与引脚分配</w:t>
      </w:r>
    </w:p>
    <w:p>
      <w:pPr>
        <w:pStyle w:val="Heading1"/>
      </w:pPr>
      <w:r>
        <w:t xml:space="preserve">3. 软件架构</w:t>
      </w:r>
    </w:p>
    <w:p>
      <w:pPr>
        <w:pStyle w:val="Heading2"/>
      </w:pPr>
      <w:r>
        <w:t xml:space="preserve">3.1 操作系统与任务划分</w:t>
      </w:r>
    </w:p>
    <w:p>
      <w:pPr>
        <w:pStyle w:val="Body"/>
      </w:pPr>
      <w:r>
        <w:t xml:space="preserve">系统基于 FreeRTOS（CMSIS-RTOS2 API）构建，共创建七个任务，由传感、决策、电机、蓝牙、视觉、雷达、显示各司其职，通过共享数据结构与消息队列协同。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1900"/>
        <w:gridCol w:w="1600"/>
        <w:gridCol w:w="1300"/>
        <w:gridCol w:w="4560"/>
      </w:tblGrid>
      <w:tr>
        <w:trPr>
          <w:tblHeader/>
        </w:trP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45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TaskSensor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AboveNormal</w:t>
            </w:r>
          </w:p>
        </w:tc>
        <w:tc>
          <w:tcPr>
            <w:tcW w:type="dxa" w:w="1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20ms</w:t>
            </w:r>
          </w:p>
        </w:tc>
        <w:tc>
          <w:tcPr>
            <w:tcW w:type="dxa" w:w="45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采集超声波、红外、气体、温湿度、姿态，维护雷达/视觉新鲜度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TaskDecision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Normal</w:t>
            </w:r>
          </w:p>
        </w:tc>
        <w:tc>
          <w:tcPr>
            <w:tcW w:type="dxa" w:w="1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20ms</w:t>
            </w:r>
          </w:p>
        </w:tc>
        <w:tc>
          <w:tcPr>
            <w:tcW w:type="dxa" w:w="45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按键/蓝牙指令处理、四级预警分级、运动规划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TaskMotor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AboveNormal</w:t>
            </w:r>
          </w:p>
        </w:tc>
        <w:tc>
          <w:tcPr>
            <w:tcW w:type="dxa" w:w="1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10ms</w:t>
            </w:r>
          </w:p>
        </w:tc>
        <w:tc>
          <w:tcPr>
            <w:tcW w:type="dxa" w:w="45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执行目标速度并叠加左右轮配平补偿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TaskBt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Normal</w:t>
            </w:r>
          </w:p>
        </w:tc>
        <w:tc>
          <w:tcPr>
            <w:tcW w:type="dxa" w:w="1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事件</w:t>
            </w:r>
          </w:p>
        </w:tc>
        <w:tc>
          <w:tcPr>
            <w:tcW w:type="dxa" w:w="45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解析蓝牙指令并即时回传状态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TaskK230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Normal</w:t>
            </w:r>
          </w:p>
        </w:tc>
        <w:tc>
          <w:tcPr>
            <w:tcW w:type="dxa" w:w="1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事件</w:t>
            </w:r>
          </w:p>
        </w:tc>
        <w:tc>
          <w:tcPr>
            <w:tcW w:type="dxa" w:w="45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解析 K230 视觉识别结果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TaskRadar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Normal</w:t>
            </w:r>
          </w:p>
        </w:tc>
        <w:tc>
          <w:tcPr>
            <w:tcW w:type="dxa" w:w="1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事件</w:t>
            </w:r>
          </w:p>
        </w:tc>
        <w:tc>
          <w:tcPr>
            <w:tcW w:type="dxa" w:w="45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解析 LD2450 雷达目标数据帧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TaskDisplay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50ms</w:t>
            </w:r>
          </w:p>
        </w:tc>
        <w:tc>
          <w:tcPr>
            <w:tcW w:type="dxa" w:w="45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LED/蜂鸣器/OLED 显示、喂看门狗、I2C 自检</w:t>
            </w:r>
          </w:p>
        </w:tc>
      </w:tr>
    </w:tbl>
    <w:p>
      <w:pPr>
        <w:pStyle w:val="Caption"/>
      </w:pPr>
      <w:r>
        <w:t xml:space="preserve">表 2  FreeRTOS 任务划分</w:t>
      </w:r>
    </w:p>
    <w:p>
      <w:pPr>
        <w:pStyle w:val="Heading2"/>
      </w:pPr>
      <w:r>
        <w:t xml:space="preserve">3.2 三种工作模式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4"/>
          <w:szCs w:val="24"/>
        </w:rPr>
        <w:t xml:space="preserve">模式 1（普通避障）：仅用超声波与红外，完成基础自动避障。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4"/>
          <w:szCs w:val="24"/>
        </w:rPr>
        <w:t xml:space="preserve">模式 2（融合避障）：在模式 1 基础上叠加毫米波雷达与 K230 视觉融合测距。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4"/>
          <w:szCs w:val="24"/>
        </w:rPr>
        <w:t xml:space="preserve">模式 3（蓝牙遥控）：人工遥控为主，危险工况下仍触发自动预警与强制制动。</w:t>
      </w:r>
    </w:p>
    <w:p>
      <w:pPr>
        <w:pStyle w:val="Body"/>
      </w:pPr>
      <w:r>
        <w:t xml:space="preserve">模式可通过板上三个按键（PD0/PD1/PD2）或蓝牙指令（MA/MB/MC）切换，两者等效。</w:t>
      </w:r>
    </w:p>
    <w:p>
      <w:pPr>
        <w:pStyle w:val="Heading1"/>
      </w:pPr>
      <w:r>
        <w:t xml:space="preserve">4. 四级预警系统</w:t>
      </w:r>
    </w:p>
    <w:p>
      <w:pPr>
        <w:pStyle w:val="Body"/>
      </w:pPr>
      <w:r>
        <w:t xml:space="preserve">预警采用四级分级模型，数值越大等级越高；同一时刻只显示当前最高级，低级不残留。各级触发条件、声光反馈与控制动作如下表。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1100"/>
        <w:gridCol w:w="3200"/>
        <w:gridCol w:w="1600"/>
        <w:gridCol w:w="3460"/>
      </w:tblGrid>
      <w:tr>
        <w:trPr>
          <w:tblHeader/>
        </w:trPr>
        <w:tc>
          <w:tcPr>
            <w:tcW w:type="dxa" w:w="1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3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声光反馈</w:t>
            </w:r>
          </w:p>
        </w:tc>
        <w:tc>
          <w:tcPr>
            <w:tcW w:type="dxa" w:w="34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控制动作</w:t>
            </w:r>
          </w:p>
        </w:tc>
      </w:tr>
      <w:tr>
        <w:tc>
          <w:tcPr>
            <w:tcW w:type="dxa" w:w="1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一级</w:t>
            </w:r>
          </w:p>
        </w:tc>
        <w:tc>
          <w:tcPr>
            <w:tcW w:type="dxa" w:w="3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前超声波&lt;1m，或视觉识别到人体/车辆，或雷达目标在 (0.5m,2m]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绿灯，蜂鸣器静音</w:t>
            </w:r>
          </w:p>
        </w:tc>
        <w:tc>
          <w:tcPr>
            <w:tcW w:type="dxa" w:w="34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减速直行</w:t>
            </w:r>
          </w:p>
        </w:tc>
      </w:tr>
      <w:tr>
        <w:tc>
          <w:tcPr>
            <w:tcW w:type="dxa" w:w="1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二级</w:t>
            </w:r>
          </w:p>
        </w:tc>
        <w:tc>
          <w:tcPr>
            <w:tcW w:type="dxa" w:w="3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前超声波&lt;30cm，或左/右/后超声波&lt;20cm，或雷达距离≤0.5m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黄灯，3kHz 50ms 间歇</w:t>
            </w:r>
          </w:p>
        </w:tc>
        <w:tc>
          <w:tcPr>
            <w:tcW w:type="dxa" w:w="34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对比左右转向避让</w:t>
            </w:r>
          </w:p>
        </w:tc>
      </w:tr>
      <w:tr>
        <w:tc>
          <w:tcPr>
            <w:tcW w:type="dxa" w:w="1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三级</w:t>
            </w:r>
          </w:p>
        </w:tc>
        <w:tc>
          <w:tcPr>
            <w:tcW w:type="dxa" w:w="3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任一红外触发（左≈10cm / 右≈1cm）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黄灯（与二级共用），2.5kHz 滴答变调</w:t>
            </w:r>
          </w:p>
        </w:tc>
        <w:tc>
          <w:tcPr>
            <w:tcW w:type="dxa" w:w="34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自动转向；三面皆堵则掉头</w:t>
            </w:r>
          </w:p>
        </w:tc>
      </w:tr>
      <w:tr>
        <w:tc>
          <w:tcPr>
            <w:tcW w:type="dxa" w:w="1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四级</w:t>
            </w:r>
          </w:p>
        </w:tc>
        <w:tc>
          <w:tcPr>
            <w:tcW w:type="dxa" w:w="3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任一超声波&lt;3cm，或烟雾/酒精超标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红灯，4kHz 长鸣</w:t>
            </w:r>
          </w:p>
        </w:tc>
        <w:tc>
          <w:tcPr>
            <w:tcW w:type="dxa" w:w="34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任何模式速度强制清零（紧急制动）</w:t>
            </w:r>
          </w:p>
        </w:tc>
      </w:tr>
    </w:tbl>
    <w:p>
      <w:pPr>
        <w:pStyle w:val="Caption"/>
      </w:pPr>
      <w:r>
        <w:t xml:space="preserve">表 3  四级预警分级定义</w:t>
      </w:r>
    </w:p>
    <w:p>
      <w:pPr>
        <w:pStyle w:val="Heading2"/>
      </w:pPr>
      <w:r>
        <w:t xml:space="preserve">4.1 传感器职责划分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4"/>
          <w:szCs w:val="24"/>
        </w:rPr>
        <w:t xml:space="preserve">四路超声波全部联动：前方负责 1/2/4 级；左/右/后负责 2 级（&lt;20cm）与 4 级（&lt;3cm），并参与转向选向与死胡同掉头。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4"/>
          <w:szCs w:val="24"/>
        </w:rPr>
        <w:t xml:space="preserve">双路红外仅反馈三级预警。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4"/>
          <w:szCs w:val="24"/>
        </w:rPr>
        <w:t xml:space="preserve">毫米波雷达与视觉共同作用：雷达目标∈(0.5m,2m] 或视觉识别到人体/车辆 → 一级；雷达距离≤0.5m（含雷达+视觉共同确认）→ 二级。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4"/>
          <w:szCs w:val="24"/>
        </w:rPr>
        <w:t xml:space="preserve">气体传感器（MQ-2/MQ-3）超标直接触发四级警报。</w:t>
      </w:r>
    </w:p>
    <w:p>
      <w:pPr>
        <w:pStyle w:val="Body"/>
      </w:pPr>
      <w:r>
        <w:t xml:space="preserve">距离无效值（超量程/无回波，记为 0xFFFF）在参与分级比较前必须先判有效，避免被误当成 0cm 而误触发四级警报。</w:t>
      </w:r>
    </w:p>
    <w:p>
      <w:pPr>
        <w:pStyle w:val="Heading1"/>
      </w:pPr>
      <w:r>
        <w:t xml:space="preserve">5. 避障与运动控制</w:t>
      </w:r>
    </w:p>
    <w:p>
      <w:pPr>
        <w:pStyle w:val="Heading2"/>
      </w:pPr>
      <w:r>
        <w:t xml:space="preserve">5.1 模式 1：普通避障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4"/>
          <w:szCs w:val="24"/>
        </w:rPr>
        <w:t xml:space="preserve">前向 &lt;30cm：对比左右超声波，向空间更宽一侧转向。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4"/>
          <w:szCs w:val="24"/>
        </w:rPr>
        <w:t xml:space="preserve">左/右侧 &lt;20cm：向另一侧差速修偏。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4"/>
          <w:szCs w:val="24"/>
        </w:rPr>
        <w:t xml:space="preserve">前向 &lt;1m：减速直行（叠加航向修正）。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4"/>
          <w:szCs w:val="24"/>
        </w:rPr>
        <w:t xml:space="preserve">后向 &lt;20cm：倒车保护，禁止后退。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4"/>
          <w:szCs w:val="24"/>
        </w:rPr>
        <w:t xml:space="preserve">其余：巡航直行（叠加航向修正）。</w:t>
      </w:r>
    </w:p>
    <w:p>
      <w:pPr>
        <w:pStyle w:val="Heading2"/>
      </w:pPr>
      <w:r>
        <w:t xml:space="preserve">5.2 模式 2：融合避障</w:t>
      </w:r>
    </w:p>
    <w:p>
      <w:pPr>
        <w:pStyle w:val="Body"/>
      </w:pPr>
      <w:r>
        <w:t xml:space="preserve">优先使用毫米波雷达距离（雷达缺席时以 K230 视觉上报距离兜底）：≤30cm 转向，(30cm,2m] 减速直行；融合数据无效时回退模式 1。</w:t>
      </w:r>
    </w:p>
    <w:p>
      <w:pPr>
        <w:pStyle w:val="Heading2"/>
      </w:pPr>
      <w:r>
        <w:t xml:space="preserve">5.3 模式 3：蓝牙遥控</w:t>
      </w:r>
    </w:p>
    <w:p>
      <w:pPr>
        <w:pStyle w:val="Body"/>
      </w:pPr>
      <w:r>
        <w:t xml:space="preserve">执行手机下发的速度指令；当触发四级警报时，无论遥控速度如何均强制清零，确保安全。</w:t>
      </w:r>
    </w:p>
    <w:p>
      <w:pPr>
        <w:pStyle w:val="Heading2"/>
      </w:pPr>
      <w:r>
        <w:t xml:space="preserve">5.4 电机控制与调试</w:t>
      </w:r>
    </w:p>
    <w:p>
      <w:pPr>
        <w:pStyle w:val="Body"/>
      </w:pPr>
      <w:r>
        <w:t xml:space="preserve">电机速度以占空比百分比（-100~+100）表达，经 TB6612 输出。所有需要实车整定的电机参数集中在头文件 tb6612_motor.h 的调试宏区，修改数值后重编译即可，无需改动业务逻辑。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3400"/>
        <w:gridCol w:w="1300"/>
        <w:gridCol w:w="4660"/>
      </w:tblGrid>
      <w:tr>
        <w:trPr>
          <w:tblHeader/>
        </w:trPr>
        <w:tc>
          <w:tcPr>
            <w:tcW w:type="dxa" w:w="3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宏</w:t>
            </w:r>
          </w:p>
        </w:tc>
        <w:tc>
          <w:tcPr>
            <w:tcW w:type="dxa" w:w="1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6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3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MOTOR_SPEED_CRUISE_PCT</w:t>
            </w:r>
          </w:p>
        </w:tc>
        <w:tc>
          <w:tcPr>
            <w:tcW w:type="dxa" w:w="1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50</w:t>
            </w:r>
          </w:p>
        </w:tc>
        <w:tc>
          <w:tcPr>
            <w:tcW w:type="dxa" w:w="46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巡航直行速度</w:t>
            </w:r>
          </w:p>
        </w:tc>
      </w:tr>
      <w:tr>
        <w:tc>
          <w:tcPr>
            <w:tcW w:type="dxa" w:w="3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MOTOR_SPEED_SLOW_PCT</w:t>
            </w:r>
          </w:p>
        </w:tc>
        <w:tc>
          <w:tcPr>
            <w:tcW w:type="dxa" w:w="1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46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后退/一级减速直行</w:t>
            </w:r>
          </w:p>
        </w:tc>
      </w:tr>
      <w:tr>
        <w:tc>
          <w:tcPr>
            <w:tcW w:type="dxa" w:w="3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MOTOR_SPEED_TURN_PCT</w:t>
            </w:r>
          </w:p>
        </w:tc>
        <w:tc>
          <w:tcPr>
            <w:tcW w:type="dxa" w:w="1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46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避障转向差速</w:t>
            </w:r>
          </w:p>
        </w:tc>
      </w:tr>
      <w:tr>
        <w:tc>
          <w:tcPr>
            <w:tcW w:type="dxa" w:w="3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MOTOR_SPEED_UTURN_PCT</w:t>
            </w:r>
          </w:p>
        </w:tc>
        <w:tc>
          <w:tcPr>
            <w:tcW w:type="dxa" w:w="1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45</w:t>
            </w:r>
          </w:p>
        </w:tc>
        <w:tc>
          <w:tcPr>
            <w:tcW w:type="dxa" w:w="46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死胡同掉头速度</w:t>
            </w:r>
          </w:p>
        </w:tc>
      </w:tr>
      <w:tr>
        <w:tc>
          <w:tcPr>
            <w:tcW w:type="dxa" w:w="3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MOTOR_TRIM_L_PCT</w:t>
            </w:r>
          </w:p>
        </w:tc>
        <w:tc>
          <w:tcPr>
            <w:tcW w:type="dxa" w:w="1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46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左轮配平补偿（跑偏时调）</w:t>
            </w:r>
          </w:p>
        </w:tc>
      </w:tr>
      <w:tr>
        <w:tc>
          <w:tcPr>
            <w:tcW w:type="dxa" w:w="3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MOTOR_TRIM_R_PCT</w:t>
            </w:r>
          </w:p>
        </w:tc>
        <w:tc>
          <w:tcPr>
            <w:tcW w:type="dxa" w:w="1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46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右轮配平补偿（跑偏时调）</w:t>
            </w:r>
          </w:p>
        </w:tc>
      </w:tr>
      <w:tr>
        <w:tc>
          <w:tcPr>
            <w:tcW w:type="dxa" w:w="3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MOTOR_STOP_USE_BRAKE</w:t>
            </w:r>
          </w:p>
        </w:tc>
        <w:tc>
          <w:tcPr>
            <w:tcW w:type="dxa" w:w="1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6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零速停机方式：1=短路制动，0=滑行</w:t>
            </w:r>
          </w:p>
        </w:tc>
      </w:tr>
    </w:tbl>
    <w:p>
      <w:pPr>
        <w:pStyle w:val="Caption"/>
      </w:pPr>
      <w:r>
        <w:t xml:space="preserve">表 4  电机调试宏（tb6612_motor.h）</w:t>
      </w:r>
    </w:p>
    <w:p>
      <w:pPr>
        <w:pStyle w:val="Heading1"/>
      </w:pPr>
      <w:r>
        <w:t xml:space="preserve">6. 蓝牙遥控协议</w:t>
      </w:r>
    </w:p>
    <w:p>
      <w:pPr>
        <w:pStyle w:val="Body"/>
      </w:pPr>
      <w:r>
        <w:t xml:space="preserve">JDY-31 蓝牙模块经 USART1（9600 N81）与手机串口助手通信。指令大小写不敏感，帧内/帧尾空白自动忽略；每条合法指令收到后立即回传状态文本。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指令</w:t>
            </w:r>
          </w:p>
        </w:tc>
        <w:tc>
          <w:tcPr>
            <w:tcW w:type="dxa" w:w="2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9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回传</w:t>
            </w:r>
          </w:p>
        </w:tc>
      </w:tr>
      <w:tr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 / MB / MC</w:t>
            </w:r>
          </w:p>
        </w:tc>
        <w:tc>
          <w:tcPr>
            <w:tcW w:type="dxa" w:w="2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切换模式 1/2/3</w:t>
            </w:r>
          </w:p>
        </w:tc>
        <w:tc>
          <w:tcPr>
            <w:tcW w:type="dxa" w:w="49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[OK] Mode1 Normal 等</w:t>
            </w:r>
          </w:p>
        </w:tc>
      </w:tr>
      <w:tr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 / S</w:t>
            </w:r>
          </w:p>
        </w:tc>
        <w:tc>
          <w:tcPr>
            <w:tcW w:type="dxa" w:w="2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前进 / 后退</w:t>
            </w:r>
          </w:p>
        </w:tc>
        <w:tc>
          <w:tcPr>
            <w:tcW w:type="dxa" w:w="49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[OK] FWD / [OK] BACK</w:t>
            </w:r>
          </w:p>
        </w:tc>
      </w:tr>
      <w:tr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/ D</w:t>
            </w:r>
          </w:p>
        </w:tc>
        <w:tc>
          <w:tcPr>
            <w:tcW w:type="dxa" w:w="2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左转 / 右转</w:t>
            </w:r>
          </w:p>
        </w:tc>
        <w:tc>
          <w:tcPr>
            <w:tcW w:type="dxa" w:w="49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[OK] LEFT / [OK] RIGHT</w:t>
            </w:r>
          </w:p>
        </w:tc>
      </w:tr>
      <w:tr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</w:t>
            </w:r>
          </w:p>
        </w:tc>
        <w:tc>
          <w:tcPr>
            <w:tcW w:type="dxa" w:w="2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掉头</w:t>
            </w:r>
          </w:p>
        </w:tc>
        <w:tc>
          <w:tcPr>
            <w:tcW w:type="dxa" w:w="49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[OK] UTURN</w:t>
            </w:r>
          </w:p>
        </w:tc>
      </w:tr>
      <w:tr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X</w:t>
            </w:r>
          </w:p>
        </w:tc>
        <w:tc>
          <w:tcPr>
            <w:tcW w:type="dxa" w:w="2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停止（任意模式立即生效）</w:t>
            </w:r>
          </w:p>
        </w:tc>
        <w:tc>
          <w:tcPr>
            <w:tcW w:type="dxa" w:w="49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[OK] STOP</w:t>
            </w:r>
          </w:p>
        </w:tc>
      </w:tr>
      <w:tr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</w:t>
            </w:r>
          </w:p>
        </w:tc>
        <w:tc>
          <w:tcPr>
            <w:tcW w:type="dxa" w:w="2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查询温湿度</w:t>
            </w:r>
          </w:p>
        </w:tc>
        <w:tc>
          <w:tcPr>
            <w:tcW w:type="dxa" w:w="49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T:26C H:55%</w:t>
            </w:r>
          </w:p>
        </w:tc>
      </w:tr>
      <w:tr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未识别</w:t>
            </w:r>
          </w:p>
        </w:tc>
        <w:tc>
          <w:tcPr>
            <w:tcW w:type="dxa" w:w="2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[ERR] Unknown:原文</w:t>
            </w:r>
          </w:p>
        </w:tc>
      </w:tr>
    </w:tbl>
    <w:p>
      <w:pPr>
        <w:pStyle w:val="Caption"/>
      </w:pPr>
      <w:r>
        <w:t xml:space="preserve">表 5  蓝牙指令协议</w:t>
      </w:r>
    </w:p>
    <w:p>
      <w:pPr>
        <w:pStyle w:val="Body"/>
      </w:pPr>
      <w:r>
        <w:t xml:space="preserve">遥控指令在非模式 3 下发时会自动切入模式 3 再执行，保证手机端发 W 车即走；停止指令 X 在任意模式下立即刹车。</w:t>
      </w:r>
    </w:p>
    <w:p>
      <w:pPr>
        <w:pStyle w:val="Heading1"/>
      </w:pPr>
      <w:r>
        <w:t xml:space="preserve">7. 显示系统</w:t>
      </w:r>
    </w:p>
    <w:p>
      <w:pPr>
        <w:pStyle w:val="Body"/>
      </w:pPr>
      <w:r>
        <w:t xml:space="preserve">OLED（SSD1306，I2C2）以约 20 帧/秒刷新，采用五行布局实时呈现系统状态；同时由三色 LED 与蜂鸣器做声光互斥提示。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1400"/>
        <w:gridCol w:w="2600"/>
        <w:gridCol w:w="5360"/>
      </w:tblGrid>
      <w:tr>
        <w:trPr>
          <w:tblHeader/>
        </w:trPr>
        <w:tc>
          <w:tcPr>
            <w:tcW w:type="dxa" w:w="1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行</w:t>
            </w:r>
          </w:p>
        </w:tc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字体</w:t>
            </w:r>
          </w:p>
        </w:tc>
        <w:tc>
          <w:tcPr>
            <w:tcW w:type="dxa" w:w="5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第 1 行</w:t>
            </w:r>
          </w:p>
        </w:tc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6×8</w:t>
            </w:r>
          </w:p>
        </w:tc>
        <w:tc>
          <w:tcPr>
            <w:tcW w:type="dxa" w:w="5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模式 + 当前预警等级 + 温湿度</w:t>
            </w:r>
          </w:p>
        </w:tc>
      </w:tr>
      <w:tr>
        <w:tc>
          <w:tcPr>
            <w:tcW w:type="dxa" w:w="1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第 2 行</w:t>
            </w:r>
          </w:p>
        </w:tc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8×16</w:t>
            </w:r>
          </w:p>
        </w:tc>
        <w:tc>
          <w:tcPr>
            <w:tcW w:type="dxa" w:w="5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前（F）/ 左（L）超声波距离</w:t>
            </w:r>
          </w:p>
        </w:tc>
      </w:tr>
      <w:tr>
        <w:tc>
          <w:tcPr>
            <w:tcW w:type="dxa" w:w="1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第 3 行</w:t>
            </w:r>
          </w:p>
        </w:tc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8×16</w:t>
            </w:r>
          </w:p>
        </w:tc>
        <w:tc>
          <w:tcPr>
            <w:tcW w:type="dxa" w:w="5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右（R）/ 后（B）超声波距离</w:t>
            </w:r>
          </w:p>
        </w:tc>
      </w:tr>
      <w:tr>
        <w:tc>
          <w:tcPr>
            <w:tcW w:type="dxa" w:w="1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第 4 行</w:t>
            </w:r>
          </w:p>
        </w:tc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6×8</w:t>
            </w:r>
          </w:p>
        </w:tc>
        <w:tc>
          <w:tcPr>
            <w:tcW w:type="dxa" w:w="5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气体状态 + 雷达距离（R:-- 表示无目标）</w:t>
            </w:r>
          </w:p>
        </w:tc>
      </w:tr>
      <w:tr>
        <w:tc>
          <w:tcPr>
            <w:tcW w:type="dxa" w:w="1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第 5 行</w:t>
            </w:r>
          </w:p>
        </w:tc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6×8</w:t>
            </w:r>
          </w:p>
        </w:tc>
        <w:tc>
          <w:tcPr>
            <w:tcW w:type="dxa" w:w="5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ALARM 触发源串（1/2/3/4 并排显示）</w:t>
            </w:r>
          </w:p>
        </w:tc>
      </w:tr>
    </w:tbl>
    <w:p>
      <w:pPr>
        <w:pStyle w:val="Caption"/>
      </w:pPr>
      <w:r>
        <w:t xml:space="preserve">表 6  OLED 显示布局</w:t>
      </w:r>
    </w:p>
    <w:p>
      <w:pPr>
        <w:pStyle w:val="Body"/>
      </w:pPr>
      <w:r>
        <w:t xml:space="preserve">声光提示遵循互斥原则：绿灯=一级；黄灯=二级与三级共用；红灯=四级。一级蜂鸣器静音，二级 3kHz 间歇，三级 2.5kHz 滴答变调，四级 4kHz 长鸣。</w:t>
      </w:r>
    </w:p>
    <w:p>
      <w:pPr>
        <w:pStyle w:val="Heading1"/>
      </w:pPr>
      <w:r>
        <w:t xml:space="preserve">8. 可靠性设计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4"/>
          <w:szCs w:val="24"/>
        </w:rPr>
        <w:t xml:space="preserve">独立看门狗：IWDG 基于 LSI 独立时钟，超时约 20 秒，任何任务死锁/跑飞均自动整机复位。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4"/>
          <w:szCs w:val="24"/>
        </w:rPr>
        <w:t xml:space="preserve">OLED I2C 自检：每帧检测 I2C2 总线，卡死时自动恢复并重初始化，花屏/黑屏一帧内自愈。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4"/>
          <w:szCs w:val="24"/>
        </w:rPr>
        <w:t xml:space="preserve">MPU6050 异步初始化：移出启动序列改在传感任务内完成，接线异常只影响航向修正，不影响整机；连续失败自动总线自救并重配置。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4"/>
          <w:szCs w:val="24"/>
        </w:rPr>
        <w:t xml:space="preserve">I2C 总线自救：复位瞬间 SDA 残留低电平时，通过 9 个 SCL 脉冲+手动 STOP 恢复总线。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4"/>
          <w:szCs w:val="24"/>
        </w:rPr>
        <w:t xml:space="preserve">故障自复位：NMI/HardFault 等异常不再死循环等断电，直接整机复位自愈。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4"/>
          <w:szCs w:val="24"/>
        </w:rPr>
        <w:t xml:space="preserve">蓝牙指令容错：大小写不敏感、空白自动忽略，杜绝脏帧误判。</w:t>
      </w:r>
    </w:p>
    <w:p>
      <w:pPr>
        <w:pStyle w:val="Heading1"/>
      </w:pPr>
      <w:r>
        <w:t xml:space="preserve">9. 小结</w:t>
      </w:r>
    </w:p>
    <w:p>
      <w:pPr>
        <w:pStyle w:val="Body"/>
      </w:pPr>
      <w:r>
        <w:t xml:space="preserve">本系统以 STM32F407VGT6 + FreeRTOS 为核心，整合超声波、红外、毫米波雷达、视觉、气体、温湿度、姿态等多源传感，形成四级分级预警与三种工作模式的智能避障小车。软件采用多任务并行架构，配合看门狗、总线自救、异步初始化等可靠性设计，兼顾了功能完整性与运行稳定性，为后续扩展奠定了基础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微软雅黑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eastAsia="微软雅黑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eastAsia="微软雅黑"/>
      <w:b/>
      <w:bCs/>
      <w:color w:val="3B6C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eastAsia="微软雅黑"/>
      <w:b/>
      <w:bCs/>
      <w:color w:val="1A1A1A"/>
      <w:sz w:val="24"/>
      <w:szCs w:val="24"/>
    </w:rPr>
  </w:style>
  <w:style w:type="paragraph" w:styleId="Body">
    <w:name w:val="Body"/>
    <w:basedOn w:val="Normal"/>
    <w:pPr>
      <w:spacing w:after="120" w:line="360"/>
      <w:ind w:firstLine="480"/>
    </w:pPr>
    <w:rPr>
      <w:rFonts w:ascii="Arial" w:eastAsia="微软雅黑"/>
      <w:color w:val="1A1A1A"/>
      <w:sz w:val="24"/>
      <w:szCs w:val="24"/>
    </w:rPr>
  </w:style>
  <w:style w:type="paragraph" w:styleId="Caption">
    <w:name w:val="Caption"/>
    <w:basedOn w:val="Normal"/>
    <w:pPr>
      <w:spacing w:after="160" w:before="60"/>
      <w:jc w:val="center"/>
    </w:pPr>
    <w:rPr>
      <w:rFonts w:ascii="Arial" w:eastAsia="微软雅黑"/>
      <w:color w:val="80808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2026-08-28T10:10:12.427Z</dcterms:created>
  <dcterms:modified xsi:type="dcterms:W3CDTF">2026-08-28T10:10:12.428Z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