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A6E89">
      <w:pPr>
        <w:spacing w:before="2000"/>
        <w:jc w:val="center"/>
      </w:pPr>
      <w:bookmarkStart w:id="0" w:name="_GoBack"/>
      <w:bookmarkEnd w:id="0"/>
      <w:r>
        <w:rPr>
          <w:b/>
          <w:bCs/>
          <w:color w:val="1F3A5F"/>
          <w:sz w:val="46"/>
          <w:szCs w:val="46"/>
        </w:rPr>
        <w:t>多模态智能小车</w:t>
      </w:r>
    </w:p>
    <w:p w14:paraId="01345FED">
      <w:pPr>
        <w:spacing w:before="200"/>
        <w:jc w:val="center"/>
      </w:pPr>
      <w:r>
        <w:rPr>
          <w:b/>
          <w:bCs/>
          <w:color w:val="3B6CA8"/>
          <w:sz w:val="32"/>
          <w:szCs w:val="32"/>
        </w:rPr>
        <w:t>项目搭建过程问题、难点与排查思路总结</w:t>
      </w:r>
    </w:p>
    <w:p w14:paraId="5DBB45BD">
      <w:pPr>
        <w:spacing w:before="520"/>
        <w:jc w:val="center"/>
      </w:pPr>
      <w:r>
        <w:rPr>
          <w:color w:val="767676"/>
          <w:sz w:val="24"/>
          <w:szCs w:val="24"/>
        </w:rPr>
        <w:t>硬件平台：STM32F407VGT6 + K230 视觉 + LD2450 毫米波雷达 + FreeRTOS</w:t>
      </w:r>
    </w:p>
    <w:p w14:paraId="7AA1EE2C">
      <w:pPr>
        <w:spacing w:before="140"/>
        <w:jc w:val="center"/>
      </w:pPr>
      <w:r>
        <w:rPr>
          <w:color w:val="767676"/>
          <w:sz w:val="24"/>
          <w:szCs w:val="24"/>
        </w:rPr>
        <w:t>编制日期：2026 年 9 月 5 日</w:t>
      </w:r>
    </w:p>
    <w:p w14:paraId="79BE35D4">
      <w:r>
        <w:br w:type="page"/>
      </w:r>
    </w:p>
    <w:p w14:paraId="022EA4BD">
      <w:pPr>
        <w:pStyle w:val="2"/>
      </w:pPr>
      <w:r>
        <w:t>1. 项目概况与系统构成</w:t>
      </w:r>
    </w:p>
    <w:p w14:paraId="1D590AE3">
      <w:pPr>
        <w:pStyle w:val="19"/>
      </w:pPr>
      <w:r>
        <w:t>本项目以 STM32F407VGT6 为主控，构建了一套融合视觉识别、毫米波雷达、超声波测距、惯性导航与气体检测的多模态分级预警小车。系统运行 FreeRTOS 实时操作系统，通过多任务分工实现传感采集、决策融合、电机执行、人机交互与无线通信的并行处理。</w:t>
      </w:r>
    </w:p>
    <w:p w14:paraId="54A16F06">
      <w:pPr>
        <w:pStyle w:val="3"/>
      </w:pPr>
      <w:r>
        <w:t>1.1 硬件构成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5" w:type="dxa"/>
          <w:left w:w="120" w:type="dxa"/>
          <w:bottom w:w="55" w:type="dxa"/>
          <w:right w:w="120" w:type="dxa"/>
        </w:tblCellMar>
      </w:tblPr>
      <w:tblGrid>
        <w:gridCol w:w="2379"/>
        <w:gridCol w:w="2690"/>
        <w:gridCol w:w="4227"/>
      </w:tblGrid>
      <w:tr w14:paraId="40E1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rPr>
          <w:tblHeader/>
        </w:trPr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7D1147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46E5A88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器件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4A00440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作用</w:t>
            </w:r>
          </w:p>
        </w:tc>
      </w:tr>
      <w:tr w14:paraId="35B7E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D2719AA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主控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E267517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STM32F407VGT6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6DFD99C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系统调度与决策核心，运行 FreeRTOS</w:t>
            </w:r>
          </w:p>
        </w:tc>
      </w:tr>
      <w:tr w14:paraId="347C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0742DF7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视觉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E503E90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K230（YOLOv</w:t>
            </w:r>
            <w:r>
              <w:rPr>
                <w:rFonts w:hint="eastAsia"/>
                <w:b w:val="0"/>
                <w:bCs w:val="0"/>
                <w:color w:val="1A1A1A"/>
                <w:sz w:val="19"/>
                <w:szCs w:val="19"/>
                <w:lang w:val="en-US" w:eastAsia="zh-CN"/>
              </w:rPr>
              <w:t>11</w:t>
            </w:r>
            <w:r>
              <w:rPr>
                <w:b w:val="0"/>
                <w:bCs w:val="0"/>
                <w:color w:val="1A1A1A"/>
                <w:sz w:val="19"/>
                <w:szCs w:val="19"/>
              </w:rPr>
              <w:t>n）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234E9926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行人、车辆目标检测，UART 下发识别结果</w:t>
            </w:r>
          </w:p>
        </w:tc>
      </w:tr>
      <w:tr w14:paraId="04B6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DE13D7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雷达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F8DCD5E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LD2450 毫米波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4820A39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目标距离与方位角检测，独立 UART 解析</w:t>
            </w:r>
          </w:p>
        </w:tc>
      </w:tr>
      <w:tr w14:paraId="54E55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E2B1C9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测距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BA1C9EC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HC-SR04 超声波 ×4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0DA59B0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前、后、左、右四向障碍探测</w:t>
            </w:r>
          </w:p>
        </w:tc>
      </w:tr>
      <w:tr w14:paraId="5BE8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58E098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姿态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BBA45F8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MPU6050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6CC6D20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航向角与加速度，用于航向修正</w:t>
            </w:r>
          </w:p>
        </w:tc>
      </w:tr>
      <w:tr w14:paraId="175F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2FE49F8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驱动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15968C8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TB6612FNG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1559F8E9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双通道电机驱动，PWM 调速与方向控制</w:t>
            </w:r>
          </w:p>
        </w:tc>
      </w:tr>
      <w:tr w14:paraId="6F5A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0134D76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执行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69D62EC2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直流减速电机 ×4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3ED888E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两两并联接入 TB6612 两个通道</w:t>
            </w:r>
          </w:p>
        </w:tc>
      </w:tr>
      <w:tr w14:paraId="4596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37DBC9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环境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62314FF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MQ-2、MQ-3、DHT11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65649D0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可燃气体、酒精浓度与温湿度检测</w:t>
            </w:r>
          </w:p>
        </w:tc>
      </w:tr>
      <w:tr w14:paraId="5BE7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5D8132F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交互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4C65FD1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OLED SSD1306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1EC9FF3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状态显示，I2C2 总线</w:t>
            </w:r>
          </w:p>
        </w:tc>
      </w:tr>
      <w:tr w14:paraId="6A2A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14CACA4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通信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2EAFBABE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JDY-31 蓝牙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797A28F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模式切换与遥控指令</w:t>
            </w:r>
          </w:p>
        </w:tc>
      </w:tr>
      <w:tr w14:paraId="5F4A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24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4CB45D4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避障</w:t>
            </w:r>
          </w:p>
        </w:tc>
        <w:tc>
          <w:tcPr>
            <w:tcW w:w="2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6332B75F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红外对管 ×2</w:t>
            </w:r>
          </w:p>
        </w:tc>
        <w:tc>
          <w:tcPr>
            <w:tcW w:w="42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E36E28C">
            <w:pPr>
              <w:jc w:val="center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近距循迹与避障辅助</w:t>
            </w:r>
          </w:p>
        </w:tc>
      </w:tr>
    </w:tbl>
    <w:p w14:paraId="3ECECE52">
      <w:pPr>
        <w:pStyle w:val="20"/>
      </w:pPr>
      <w:r>
        <w:t>表 1  系统硬件构成</w:t>
      </w:r>
    </w:p>
    <w:p w14:paraId="2ECF44A7">
      <w:pPr>
        <w:pStyle w:val="3"/>
      </w:pPr>
      <w:r>
        <w:t>1.2 软件任务架构</w:t>
      </w:r>
    </w:p>
    <w:p w14:paraId="55B11CD5">
      <w:pPr>
        <w:pStyle w:val="19"/>
      </w:pPr>
      <w:r>
        <w:t>系统划分为七个 FreeRTOS 任务：传感任务负责超声波轮询与模拟量采集；决策任务完成多源数据融合与三级预警判定；电机任务执行速度与转向控制；蓝牙任务解析遥控指令；K230 任务接收视觉结果；雷达任务解析毫米波帧；显示任务刷新 OLED 界面。各任务通过全局状态结构与队列交互。</w:t>
      </w:r>
    </w:p>
    <w:p w14:paraId="3A4CAE56">
      <w:pPr>
        <w:pStyle w:val="21"/>
      </w:pPr>
      <w:r>
        <w:t>多任务架构带来的主要难点在于资源竞争与时序耦合：传感任务的忙等会挤压电机任务的执行窗口，共享状态的并发访问需要保护，这一类问题在后文的排查中反复出现。</w:t>
      </w:r>
    </w:p>
    <w:p w14:paraId="248BF9CF">
      <w:pPr>
        <w:pStyle w:val="2"/>
      </w:pPr>
      <w:r>
        <w:t>2. 贯穿全程的排查方法论</w:t>
      </w:r>
    </w:p>
    <w:p w14:paraId="3DCFF1ED">
      <w:pPr>
        <w:pStyle w:val="19"/>
      </w:pPr>
      <w:r>
        <w:t>本项目累计定位并修复的问题超过二十项，涉及硬件、驱动、协议、逻辑、时序与电源六个层面。在反复试错之后，逐渐沉淀出一套相对稳定的排查思路，它比任何单个问题的具体解法都更有价值。</w:t>
      </w:r>
    </w:p>
    <w:p w14:paraId="15466460">
      <w:pPr>
        <w:pStyle w:val="3"/>
      </w:pPr>
      <w:r>
        <w:t>2.1 六条核心原则</w:t>
      </w:r>
    </w:p>
    <w:p w14:paraId="0819736B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分层定位：先确认故障属于硬件层、驱动层、协议层、逻辑层、时序层还是电源层，不同层级的排查手段完全不同，混层排查会浪费大量时间。</w:t>
      </w:r>
    </w:p>
    <w:p w14:paraId="3F6D0178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版本对照：维护已知可用的历史版本作为基准，用文件差异比对定位回归点。这是本项目效率最高的手段，多次直接锁定问题代码行。</w:t>
      </w:r>
    </w:p>
    <w:p w14:paraId="0E52A9D9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硬件优先怀疑：当软件逻辑经检查确认无误、执行器却无响应时，应优先怀疑供电、接线与器件本身，而不是继续在代码里找原因。</w:t>
      </w:r>
    </w:p>
    <w:p w14:paraId="0FFFD503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读寄存器取证：直接读取定时器比较寄存器、复位标志寄存器等硬件状态，可以证明软件指令是否真正下发，从而把软件与硬件的责任划清。</w:t>
      </w:r>
    </w:p>
    <w:p w14:paraId="41478010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最小化改动：确认根因后只改必要部分，避免顺手重构引入新问题；诊断代码用完必须清除，防止污染生产版本。</w:t>
      </w:r>
    </w:p>
    <w:p w14:paraId="7C061795">
      <w:pPr>
        <w:pStyle w:val="16"/>
        <w:numPr>
          <w:ilvl w:val="0"/>
          <w:numId w:val="1"/>
        </w:numPr>
        <w:spacing w:after="50" w:line="320" w:lineRule="auto"/>
      </w:pPr>
      <w:r>
        <w:rPr>
          <w:sz w:val="22"/>
          <w:szCs w:val="22"/>
        </w:rPr>
        <w:t>先查官方协议：外设通信异常时，第一步是核对官方数据手册的帧格式与电气特性，而不是猜测或参考网络上的二手示例代码。</w:t>
      </w:r>
    </w:p>
    <w:p w14:paraId="7A714668">
      <w:pPr>
        <w:pStyle w:val="3"/>
      </w:pPr>
      <w:r>
        <w:t>2.2 常见误区</w:t>
      </w:r>
    </w:p>
    <w:p w14:paraId="2C2788D0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误区一：把偶发故障当作已解决。接触不良类问题往往在特定状态下暂时消失，未复现不等于已修复。</w:t>
      </w:r>
    </w:p>
    <w:p w14:paraId="347286C0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误区二：只看代码不看电气。程序逻辑完全正确但供电不足时，执行器依然不动。</w:t>
      </w:r>
    </w:p>
    <w:p w14:paraId="14CF19E8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误区三：一次改多处。多个修改同时上电，无法判断哪个有效、哪个引入了新问题。</w:t>
      </w:r>
    </w:p>
    <w:p w14:paraId="217C9A0F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误区四：忽略常态负载。加热丝、视觉模块这类持续耗电器件容易被漏算。</w:t>
      </w:r>
    </w:p>
    <w:p w14:paraId="2CB18194">
      <w:r>
        <w:br w:type="page"/>
      </w:r>
    </w:p>
    <w:p w14:paraId="4E5BDE9F">
      <w:pPr>
        <w:pStyle w:val="2"/>
      </w:pPr>
      <w:r>
        <w:t>3. 问题与难点清单</w:t>
      </w:r>
    </w:p>
    <w:p w14:paraId="13198BD4">
      <w:pPr>
        <w:pStyle w:val="19"/>
      </w:pPr>
      <w:r>
        <w:t>下表汇总了项目搭建过程中遇到的主要问题，按发现与解决的先后顺序排列。后续章节对其中影响较大、排查过程较曲折的问题展开详细说明。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5" w:type="dxa"/>
          <w:left w:w="120" w:type="dxa"/>
          <w:bottom w:w="55" w:type="dxa"/>
          <w:right w:w="120" w:type="dxa"/>
        </w:tblCellMar>
      </w:tblPr>
      <w:tblGrid>
        <w:gridCol w:w="697"/>
        <w:gridCol w:w="2089"/>
        <w:gridCol w:w="3272"/>
        <w:gridCol w:w="1294"/>
        <w:gridCol w:w="1944"/>
      </w:tblGrid>
      <w:tr w14:paraId="2AB5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rPr>
          <w:tblHeader/>
        </w:trPr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160437A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31B5466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问题现象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19EFFCE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根本原因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34910D3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所属层级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1F3A5F"/>
            <w:vAlign w:val="center"/>
          </w:tcPr>
          <w:p w14:paraId="3B8E7D0F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状态</w:t>
            </w:r>
          </w:p>
        </w:tc>
      </w:tr>
      <w:tr w14:paraId="253B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27EFC4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01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94B388A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OLED 移植后不显示或乱码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4DFB545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HAL I2C 配置与字库编码不匹配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40523A9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驱动层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09443994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2F0B0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A2C881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02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6CFF26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超声波右向与后向无数据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0171DAE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Echo 引脚 5V 电平导致主控卡死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1FBD3D20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硬件电气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18E1E45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6B28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0BD64B24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03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E453E78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侧向修正后画大圈不回正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48B58AF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时间脉冲式修正被反复触发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3403AD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85A538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17A6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6442D644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04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1D9CF2EC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蓝牙切换模式后车辆静止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3DF55D0C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供电不足导致电机无法启动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7929D57D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电源层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32917C06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已解决</w:t>
            </w:r>
          </w:p>
        </w:tc>
      </w:tr>
      <w:tr w14:paraId="6476B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D7D001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05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1347703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红外触发后原地打转数秒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CB642A6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修正逻辑未设置退出条件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546E483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73ECEE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6BD3B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5077A872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06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72E27EAF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电机嗡鸣但不转动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7CF4D584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稳压模块负载能力不足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78BAD930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电源层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FBEAE7"/>
            <w:vAlign w:val="center"/>
          </w:tcPr>
          <w:p w14:paraId="1F31150A">
            <w:pPr>
              <w:jc w:val="left"/>
            </w:pPr>
            <w:r>
              <w:rPr>
                <w:b/>
                <w:bCs/>
                <w:color w:val="1A1A1A"/>
                <w:sz w:val="19"/>
                <w:szCs w:val="19"/>
              </w:rPr>
              <w:t>已解决</w:t>
            </w:r>
          </w:p>
        </w:tc>
      </w:tr>
      <w:tr w14:paraId="0104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0F2CB3E9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07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559820F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OLED 残留启动横幅字符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E3EA1A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未在新界面绘制前清屏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D2A141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7A6DCA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127F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CDDCDA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08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4B90C27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雷达数据显示始终为双横线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FFF8FA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帧同步头识别错误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4C8627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协议层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7C341AF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4DA35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AFE90A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09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EB5ACF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静止目标误触发二级预警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2F6AC3B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未按速度字段过滤静止反射体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6C82261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41A86E4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0C9B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3C04F8D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2E2746CF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屏幕周期性闪烁与卡顿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03DA627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自检函数每帧重复初始化屏幕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51DDF23B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时序层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CF60E38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61B9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64B2FA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7356337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系统运行一段时间后冻结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581D3410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栈溢出钩子进入死循环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AB96CFA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RTOS 配置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98CF3CA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20E6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7F4D9D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C3F03C0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电机刷新被延迟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BD718A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传感任务忙等挤压同级任务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0F04BD47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时序层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3DE99ABE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53E9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7065D8D3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3E855954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MPU6050 断开后车辆不前进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0ABAF016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航向修正未写入基础速度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FF77F9C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vAlign w:val="center"/>
          </w:tcPr>
          <w:p w14:paraId="19358C81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  <w:tr w14:paraId="00B5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5" w:type="dxa"/>
            <w:left w:w="120" w:type="dxa"/>
            <w:bottom w:w="55" w:type="dxa"/>
            <w:right w:w="120" w:type="dxa"/>
          </w:tblCellMar>
        </w:tblPrEx>
        <w:tc>
          <w:tcPr>
            <w:tcW w:w="7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56EBE840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01D229F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转向朝障碍侧偏移</w:t>
            </w:r>
          </w:p>
        </w:tc>
        <w:tc>
          <w:tcPr>
            <w:tcW w:w="3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43D19B46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无效测距值被当作最大距离</w:t>
            </w:r>
          </w:p>
        </w:tc>
        <w:tc>
          <w:tcPr>
            <w:tcW w:w="130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6CDB71B7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逻辑层</w:t>
            </w:r>
          </w:p>
        </w:tc>
        <w:tc>
          <w:tcPr>
            <w:tcW w:w="1960" w:type="dxa"/>
            <w:tcBorders>
              <w:top w:val="single" w:color="C9D4E0" w:sz="0" w:space="0"/>
              <w:left w:val="single" w:color="C9D4E0" w:sz="0" w:space="0"/>
              <w:bottom w:val="single" w:color="C9D4E0" w:sz="0" w:space="0"/>
              <w:right w:val="single" w:color="C9D4E0" w:sz="0" w:space="0"/>
            </w:tcBorders>
            <w:shd w:val="clear" w:color="auto" w:fill="EEF3F8"/>
            <w:vAlign w:val="center"/>
          </w:tcPr>
          <w:p w14:paraId="25F7D372">
            <w:pPr>
              <w:jc w:val="left"/>
            </w:pPr>
            <w:r>
              <w:rPr>
                <w:b w:val="0"/>
                <w:bCs w:val="0"/>
                <w:color w:val="1A1A1A"/>
                <w:sz w:val="19"/>
                <w:szCs w:val="19"/>
              </w:rPr>
              <w:t>已解决</w:t>
            </w:r>
          </w:p>
        </w:tc>
      </w:tr>
    </w:tbl>
    <w:p w14:paraId="42E46A7C">
      <w:pPr>
        <w:pStyle w:val="20"/>
      </w:pPr>
      <w:r>
        <w:t>表 2  问题清单（高亮为本轮排查中影响最大的两项）</w:t>
      </w:r>
    </w:p>
    <w:p w14:paraId="1D1FF634">
      <w:r>
        <w:br w:type="page"/>
      </w:r>
    </w:p>
    <w:p w14:paraId="29A66DD0">
      <w:pPr>
        <w:pStyle w:val="2"/>
      </w:pPr>
      <w:r>
        <w:t>4. 重点问题排查过程详解</w:t>
      </w:r>
    </w:p>
    <w:p w14:paraId="37D6CFE9">
      <w:pPr>
        <w:pStyle w:val="3"/>
      </w:pPr>
      <w:r>
        <w:t>4.1 电机嗡鸣但不转动（电源层）</w:t>
      </w:r>
    </w:p>
    <w:p w14:paraId="50D74645">
      <w:pPr>
        <w:pStyle w:val="22"/>
      </w:pPr>
      <w:r>
        <w:t>现象：切换任意模式，四个电机均发出微弱嗡鸣声但不转动；软件检查显示 PWM 与方向信号正常</w:t>
      </w:r>
    </w:p>
    <w:p w14:paraId="53D58038">
      <w:pPr>
        <w:pStyle w:val="4"/>
      </w:pPr>
      <w:r>
        <w:t>排查思路与过程</w:t>
      </w:r>
    </w:p>
    <w:p w14:paraId="7EFD90AB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第一步，排除逻辑层。检查决策任务的模式判断、电机任务的速度计算，确认目标速度非零、方向引脚电平正确。此路走不通，因为代码逻辑与可用版本一致。</w:t>
      </w:r>
    </w:p>
    <w:p w14:paraId="70B1ACF0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第二步，排除驱动层。用文件差异比对当前 TB6612 驱动与已知可用版本 0.291N，结果完全一致，说明驱动实现没有问题。</w:t>
      </w:r>
    </w:p>
    <w:p w14:paraId="5B783144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第三步，排除时序层。怀疑传感任务忙等挤压电机任务，于是将电机任务优先级临时提升，现象无改善，说明不是调度问题。</w:t>
      </w:r>
    </w:p>
    <w:p w14:paraId="5683F554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第四步，读寄存器取证。在显示任务中增加诊断探针，直接读取 TIM3 的比较寄存器与使能状态，OLED 显示使能为 1、占空比为 50，证明软件确实把正确的 PWM 送到了定时器。同时读取复位标志寄存器，确认单片机没有发生欠压复位。</w:t>
      </w:r>
    </w:p>
    <w:p w14:paraId="56160BED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第五步，转向硬件与电源。既然控制信号已到达定时器，问题只能在功率级。测量发现稳压模块在大电流下输出电压明显跌落，电机端电压不足以建立启动转矩。</w:t>
      </w:r>
    </w:p>
    <w:p w14:paraId="72CDC0AF">
      <w:pPr>
        <w:pStyle w:val="16"/>
        <w:numPr>
          <w:ilvl w:val="0"/>
          <w:numId w:val="3"/>
        </w:numPr>
        <w:spacing w:after="50" w:line="320" w:lineRule="auto"/>
      </w:pPr>
      <w:r>
        <w:rPr>
          <w:sz w:val="22"/>
          <w:szCs w:val="22"/>
        </w:rPr>
        <w:t>第六步，验证与定位。在稳压模块与面包板电源轨之间并联一对杜邦线，接触电阻减半、压降下降，电机随即恢复正常转动，确认根因为供电能力不足叠加大电流接触压降。</w:t>
      </w:r>
    </w:p>
    <w:p w14:paraId="352372E6">
      <w:pPr>
        <w:pStyle w:val="4"/>
      </w:pPr>
      <w:r>
        <w:t>关键收获</w:t>
      </w:r>
    </w:p>
    <w:p w14:paraId="6DC4EB04">
      <w:pPr>
        <w:pStyle w:val="19"/>
      </w:pPr>
      <w:r>
        <w:t>这个问题最有价值的地方在于第四步：读寄存器取证。它用硬件事实证明了软件的责任已尽，从而把排查方向从"继续改代码"果断切换到"检查供电"。如果没有这一步，很可能在逻辑层反复尝试而始终不得其解。详细的功率核算与改进方案见配套文档《智能小车电机供电系统分析》。</w:t>
      </w:r>
    </w:p>
    <w:p w14:paraId="5EC4E2E5">
      <w:pPr>
        <w:pStyle w:val="3"/>
      </w:pPr>
      <w:r>
        <w:t>4.2 蓝牙切换模式后车辆静止（表象层）</w:t>
      </w:r>
    </w:p>
    <w:p w14:paraId="4B2D3E39">
      <w:pPr>
        <w:pStyle w:val="22"/>
      </w:pPr>
      <w:r>
        <w:t>现象：蓝牙发送模式切换指令，OLED 上模式号正确变化，但车辆不动</w:t>
      </w:r>
    </w:p>
    <w:p w14:paraId="4576D84C">
      <w:pPr>
        <w:pStyle w:val="4"/>
      </w:pPr>
      <w:r>
        <w:t>排查思路与过程</w:t>
      </w:r>
    </w:p>
    <w:p w14:paraId="57DF4296">
      <w:pPr>
        <w:pStyle w:val="16"/>
        <w:numPr>
          <w:ilvl w:val="0"/>
          <w:numId w:val="4"/>
        </w:numPr>
        <w:spacing w:after="50" w:line="320" w:lineRule="auto"/>
      </w:pPr>
      <w:r>
        <w:rPr>
          <w:sz w:val="22"/>
          <w:szCs w:val="22"/>
        </w:rPr>
        <w:t>先确认通信链路。OLED 显示的模式号随指令变化，说明蓝牙接收与指令解析完全正常，问题不在通信层。</w:t>
      </w:r>
    </w:p>
    <w:p w14:paraId="5FC11B57">
      <w:pPr>
        <w:pStyle w:val="16"/>
        <w:numPr>
          <w:ilvl w:val="0"/>
          <w:numId w:val="4"/>
        </w:numPr>
        <w:spacing w:after="50" w:line="320" w:lineRule="auto"/>
      </w:pPr>
      <w:r>
        <w:rPr>
          <w:sz w:val="22"/>
          <w:szCs w:val="22"/>
        </w:rPr>
        <w:t>再确认决策输出。检查决策任务，模式切换后确实产生了非零的目标速度，说明逻辑层也正常。</w:t>
      </w:r>
    </w:p>
    <w:p w14:paraId="302A560D">
      <w:pPr>
        <w:pStyle w:val="16"/>
        <w:numPr>
          <w:ilvl w:val="0"/>
          <w:numId w:val="4"/>
        </w:numPr>
        <w:spacing w:after="50" w:line="320" w:lineRule="auto"/>
      </w:pPr>
      <w:r>
        <w:rPr>
          <w:sz w:val="22"/>
          <w:szCs w:val="22"/>
        </w:rPr>
        <w:t>最后定位到执行层。电机不转与 4.1 节为同一根因，即供电不足。</w:t>
      </w:r>
    </w:p>
    <w:p w14:paraId="03838718">
      <w:pPr>
        <w:pStyle w:val="4"/>
      </w:pPr>
      <w:r>
        <w:t>关键收获</w:t>
      </w:r>
    </w:p>
    <w:p w14:paraId="4099B072">
      <w:pPr>
        <w:pStyle w:val="19"/>
      </w:pPr>
      <w:r>
        <w:t>这个案例说明，表面看起来属于某个模块的问题，实际根因可能在完全不同的层级。用户最初报告为"蓝牙模式切换故障"，但蓝牙只是触发条件，真正的故障在电源。排查时要沿着信号流一路追到执行末端，而不是停在第一个看起来异常的环节。</w:t>
      </w:r>
    </w:p>
    <w:p w14:paraId="41BA9725">
      <w:pPr>
        <w:pStyle w:val="3"/>
      </w:pPr>
      <w:r>
        <w:t>4.3 雷达数据始终显示双横线（协议层）</w:t>
      </w:r>
    </w:p>
    <w:p w14:paraId="2C535A8D">
      <w:pPr>
        <w:pStyle w:val="22"/>
      </w:pPr>
      <w:r>
        <w:t>现象：LD2450 已正常供电并接线，OLED 雷达行始终显示占位符，无距离与角度</w:t>
      </w:r>
    </w:p>
    <w:p w14:paraId="7D28F80B">
      <w:pPr>
        <w:pStyle w:val="4"/>
      </w:pPr>
      <w:r>
        <w:t>排查思路与过程</w:t>
      </w:r>
    </w:p>
    <w:p w14:paraId="40D0B50B">
      <w:pPr>
        <w:pStyle w:val="16"/>
        <w:numPr>
          <w:ilvl w:val="0"/>
          <w:numId w:val="5"/>
        </w:numPr>
        <w:spacing w:after="50" w:line="320" w:lineRule="auto"/>
      </w:pPr>
      <w:r>
        <w:rPr>
          <w:sz w:val="22"/>
          <w:szCs w:val="22"/>
        </w:rPr>
        <w:t>确认物理连接。测量雷达供电与 UART 收发线，接线正确、电平匹配。</w:t>
      </w:r>
    </w:p>
    <w:p w14:paraId="6D0CC125">
      <w:pPr>
        <w:pStyle w:val="16"/>
        <w:numPr>
          <w:ilvl w:val="0"/>
          <w:numId w:val="5"/>
        </w:numPr>
        <w:spacing w:after="50" w:line="320" w:lineRule="auto"/>
      </w:pPr>
      <w:r>
        <w:rPr>
          <w:sz w:val="22"/>
          <w:szCs w:val="22"/>
        </w:rPr>
        <w:t>确认数据到达。用串口工具观察主控接收缓冲区，发现字节流持续到来，说明通信链路通畅，问题出在解析。</w:t>
      </w:r>
    </w:p>
    <w:p w14:paraId="7E44F7EA">
      <w:pPr>
        <w:pStyle w:val="16"/>
        <w:numPr>
          <w:ilvl w:val="0"/>
          <w:numId w:val="5"/>
        </w:numPr>
        <w:spacing w:after="50" w:line="320" w:lineRule="auto"/>
      </w:pPr>
      <w:r>
        <w:rPr>
          <w:sz w:val="22"/>
          <w:szCs w:val="22"/>
        </w:rPr>
        <w:t>核对官方协议。查阅 LD2450 数据手册，发现上报帧的同步头为特定的四字节序列，而原解析代码使用的是另一种三字节头，属于参考了不匹配的示例代码。</w:t>
      </w:r>
    </w:p>
    <w:p w14:paraId="5B6EC168">
      <w:pPr>
        <w:pStyle w:val="16"/>
        <w:numPr>
          <w:ilvl w:val="0"/>
          <w:numId w:val="5"/>
        </w:numPr>
        <w:spacing w:after="50" w:line="320" w:lineRule="auto"/>
      </w:pPr>
      <w:r>
        <w:rPr>
          <w:sz w:val="22"/>
          <w:szCs w:val="22"/>
        </w:rPr>
        <w:t>重写解析器。按官方协议重新实现帧同步、长度校验、坐标与速度字段解码，解析恢复正常。</w:t>
      </w:r>
    </w:p>
    <w:p w14:paraId="139B97B3">
      <w:pPr>
        <w:pStyle w:val="4"/>
      </w:pPr>
      <w:r>
        <w:t>关键收获</w:t>
      </w:r>
    </w:p>
    <w:p w14:paraId="19B3EA66">
      <w:pPr>
        <w:pStyle w:val="19"/>
      </w:pPr>
      <w:r>
        <w:t>外设通信异常时，核对官方数据手册应当是第一步而非最后一步。网络示例代码常常针对同系列的不同型号或不同固件版本，帧格式存在差异，直接套用会得到一个看似合理却永远匹配不上的解析逻辑。</w:t>
      </w:r>
    </w:p>
    <w:p w14:paraId="7B8CFA09">
      <w:pPr>
        <w:pStyle w:val="3"/>
      </w:pPr>
      <w:r>
        <w:t>4.4 静止目标误触发二级预警（逻辑层）</w:t>
      </w:r>
    </w:p>
    <w:p w14:paraId="104A0808">
      <w:pPr>
        <w:pStyle w:val="22"/>
      </w:pPr>
      <w:r>
        <w:t>现象：车辆静止停放在房间中，雷达持续上报二级预警</w:t>
      </w:r>
    </w:p>
    <w:p w14:paraId="04560F8C">
      <w:pPr>
        <w:pStyle w:val="4"/>
      </w:pPr>
      <w:r>
        <w:t>排查思路与过程</w:t>
      </w:r>
    </w:p>
    <w:p w14:paraId="742E4FFD">
      <w:pPr>
        <w:pStyle w:val="16"/>
        <w:numPr>
          <w:ilvl w:val="0"/>
          <w:numId w:val="6"/>
        </w:numPr>
        <w:spacing w:after="50" w:line="320" w:lineRule="auto"/>
      </w:pPr>
      <w:r>
        <w:rPr>
          <w:sz w:val="22"/>
          <w:szCs w:val="22"/>
        </w:rPr>
        <w:t>分析数据来源。雷达检测到的确实是真实反射体，如墙壁、家具，数据本身没有错误。</w:t>
      </w:r>
    </w:p>
    <w:p w14:paraId="6491FAD2">
      <w:pPr>
        <w:pStyle w:val="16"/>
        <w:numPr>
          <w:ilvl w:val="0"/>
          <w:numId w:val="6"/>
        </w:numPr>
        <w:spacing w:after="50" w:line="320" w:lineRule="auto"/>
      </w:pPr>
      <w:r>
        <w:rPr>
          <w:sz w:val="22"/>
          <w:szCs w:val="22"/>
        </w:rPr>
        <w:t>明确业务需求。预警的目的是提示运动目标带来的碰撞风险，静止环境物体不应触发。</w:t>
      </w:r>
    </w:p>
    <w:p w14:paraId="4A7F29B4">
      <w:pPr>
        <w:pStyle w:val="16"/>
        <w:numPr>
          <w:ilvl w:val="0"/>
          <w:numId w:val="6"/>
        </w:numPr>
        <w:spacing w:after="50" w:line="320" w:lineRule="auto"/>
      </w:pPr>
      <w:r>
        <w:rPr>
          <w:sz w:val="22"/>
          <w:szCs w:val="22"/>
        </w:rPr>
        <w:t>查找可用判据。LD2450 的上报帧中除坐标外还包含速度字段，可直接用于区分动静态。</w:t>
      </w:r>
    </w:p>
    <w:p w14:paraId="24D678C0">
      <w:pPr>
        <w:pStyle w:val="16"/>
        <w:numPr>
          <w:ilvl w:val="0"/>
          <w:numId w:val="6"/>
        </w:numPr>
        <w:spacing w:after="50" w:line="320" w:lineRule="auto"/>
      </w:pPr>
      <w:r>
        <w:rPr>
          <w:sz w:val="22"/>
          <w:szCs w:val="22"/>
        </w:rPr>
        <w:t>增加过滤逻辑。在雷达任务中对速度低于阈值的目标标记为静止并排除出预警计算，误报消除。</w:t>
      </w:r>
    </w:p>
    <w:p w14:paraId="3AB47D99">
      <w:pPr>
        <w:pStyle w:val="4"/>
      </w:pPr>
      <w:r>
        <w:t>关键收获</w:t>
      </w:r>
    </w:p>
    <w:p w14:paraId="02F368C1">
      <w:pPr>
        <w:pStyle w:val="19"/>
      </w:pPr>
      <w:r>
        <w:t>传感器"数据正确"不等于"符合业务需要"。设计融合逻辑时，要先明确该传感器在本系统中的语义角色，再决定如何使用它的输出。同时应充分利用协议中提供的全部字段，而不是只取最显眼的那一个。</w:t>
      </w:r>
    </w:p>
    <w:p w14:paraId="039D644C">
      <w:pPr>
        <w:pStyle w:val="3"/>
      </w:pPr>
      <w:r>
        <w:t>4.5 侧向修正后画大圈不回正（逻辑层）</w:t>
      </w:r>
    </w:p>
    <w:p w14:paraId="63EACF99">
      <w:pPr>
        <w:pStyle w:val="22"/>
      </w:pPr>
      <w:r>
        <w:t>现象：侧向超声波检测到障碍后，车辆持续转弯画大圈，不回到直线行驶</w:t>
      </w:r>
    </w:p>
    <w:p w14:paraId="26E4D986">
      <w:pPr>
        <w:pStyle w:val="4"/>
      </w:pPr>
      <w:r>
        <w:t>排查思路与过程</w:t>
      </w:r>
    </w:p>
    <w:p w14:paraId="566978F1">
      <w:pPr>
        <w:pStyle w:val="16"/>
        <w:numPr>
          <w:ilvl w:val="0"/>
          <w:numId w:val="7"/>
        </w:numPr>
        <w:spacing w:after="50" w:line="320" w:lineRule="auto"/>
      </w:pPr>
      <w:r>
        <w:rPr>
          <w:sz w:val="22"/>
          <w:szCs w:val="22"/>
        </w:rPr>
        <w:t>复现并观察。确认车辆在障碍消失后仍在转弯，说明修正动作没有正确的终止条件。</w:t>
      </w:r>
    </w:p>
    <w:p w14:paraId="70392DF8">
      <w:pPr>
        <w:pStyle w:val="16"/>
        <w:numPr>
          <w:ilvl w:val="0"/>
          <w:numId w:val="7"/>
        </w:numPr>
        <w:spacing w:after="50" w:line="320" w:lineRule="auto"/>
      </w:pPr>
      <w:r>
        <w:rPr>
          <w:sz w:val="22"/>
          <w:szCs w:val="22"/>
        </w:rPr>
        <w:t>比对历史版本。与已知行为正常的版本 0.242 做差异比对，发现当前版本采用了时间脉冲式修正，即检测到障碍后启动一个固定时长的转向动作。</w:t>
      </w:r>
    </w:p>
    <w:p w14:paraId="28A2F762">
      <w:pPr>
        <w:pStyle w:val="16"/>
        <w:numPr>
          <w:ilvl w:val="0"/>
          <w:numId w:val="7"/>
        </w:numPr>
        <w:spacing w:after="50" w:line="320" w:lineRule="auto"/>
      </w:pPr>
      <w:r>
        <w:rPr>
          <w:sz w:val="22"/>
          <w:szCs w:val="22"/>
        </w:rPr>
        <w:t>分析失效机理。脉冲式修正在障碍持续存在时会被反复触发，每次触发都追加一段转向，累计效果变成持续画圈。</w:t>
      </w:r>
    </w:p>
    <w:p w14:paraId="3EAC0A7E">
      <w:pPr>
        <w:pStyle w:val="16"/>
        <w:numPr>
          <w:ilvl w:val="0"/>
          <w:numId w:val="7"/>
        </w:numPr>
        <w:spacing w:after="50" w:line="320" w:lineRule="auto"/>
      </w:pPr>
      <w:r>
        <w:rPr>
          <w:sz w:val="22"/>
          <w:szCs w:val="22"/>
        </w:rPr>
        <w:t>采用瞬时条件式。改回 0.242 版本的思路：仅当一侧距离小于阈值且另一侧明显更宽时才转向，条件不满足立即恢复直线，转向行为与实时传感状态严格绑定。</w:t>
      </w:r>
    </w:p>
    <w:p w14:paraId="0A43D131">
      <w:pPr>
        <w:pStyle w:val="16"/>
        <w:numPr>
          <w:ilvl w:val="0"/>
          <w:numId w:val="7"/>
        </w:numPr>
        <w:spacing w:after="50" w:line="320" w:lineRule="auto"/>
      </w:pPr>
      <w:r>
        <w:rPr>
          <w:sz w:val="22"/>
          <w:szCs w:val="22"/>
        </w:rPr>
        <w:t>补充边界处理。无效测距值不再被当作最大距离，避免车辆朝失联的一侧转向；转向生效后立即返回，防止后续直行代码覆盖转向指令。</w:t>
      </w:r>
    </w:p>
    <w:p w14:paraId="565E0A80">
      <w:pPr>
        <w:pStyle w:val="4"/>
      </w:pPr>
      <w:r>
        <w:t>关键收获</w:t>
      </w:r>
    </w:p>
    <w:p w14:paraId="68FEB951">
      <w:pPr>
        <w:pStyle w:val="19"/>
      </w:pPr>
      <w:r>
        <w:t>避障控制应采用状态跟随式而非时间开环式。时间开环控制一旦触发条件持续存在，就会不断累积动作量，失去自恢复能力。让执行动作与传感状态实时绑定，条件消失动作即刻停止，才能保证系统始终可回到稳态。</w:t>
      </w:r>
    </w:p>
    <w:p w14:paraId="117F63D5">
      <w:pPr>
        <w:pStyle w:val="3"/>
      </w:pPr>
      <w:r>
        <w:t>4.6 超声波某方向无数据导致主控卡死（硬件电气）</w:t>
      </w:r>
    </w:p>
    <w:p w14:paraId="171C2D65">
      <w:pPr>
        <w:pStyle w:val="22"/>
      </w:pPr>
      <w:r>
        <w:t>现象：右向与后向超声波始终无数据，且系统整体响应异常</w:t>
      </w:r>
    </w:p>
    <w:p w14:paraId="3FB037F2">
      <w:pPr>
        <w:pStyle w:val="4"/>
      </w:pPr>
      <w:r>
        <w:t>排查思路与过程</w:t>
      </w:r>
    </w:p>
    <w:p w14:paraId="6DEF9A04">
      <w:pPr>
        <w:pStyle w:val="16"/>
        <w:numPr>
          <w:ilvl w:val="0"/>
          <w:numId w:val="8"/>
        </w:numPr>
        <w:spacing w:after="50" w:line="320" w:lineRule="auto"/>
      </w:pPr>
      <w:r>
        <w:rPr>
          <w:sz w:val="22"/>
          <w:szCs w:val="22"/>
        </w:rPr>
        <w:t>先怀疑软件配置。检查定时器通道、GPIO 复用、中断优先级，确认配置无遗漏。</w:t>
      </w:r>
    </w:p>
    <w:p w14:paraId="7DCAC695">
      <w:pPr>
        <w:pStyle w:val="16"/>
        <w:numPr>
          <w:ilvl w:val="0"/>
          <w:numId w:val="8"/>
        </w:numPr>
        <w:spacing w:after="50" w:line="320" w:lineRule="auto"/>
      </w:pPr>
      <w:r>
        <w:rPr>
          <w:sz w:val="22"/>
          <w:szCs w:val="22"/>
        </w:rPr>
        <w:t>再怀疑器件。单独测试超声波模块，模块本身工作正常。</w:t>
      </w:r>
    </w:p>
    <w:p w14:paraId="3A87BB30">
      <w:pPr>
        <w:pStyle w:val="16"/>
        <w:numPr>
          <w:ilvl w:val="0"/>
          <w:numId w:val="8"/>
        </w:numPr>
        <w:spacing w:after="50" w:line="320" w:lineRule="auto"/>
      </w:pPr>
      <w:r>
        <w:rPr>
          <w:sz w:val="22"/>
          <w:szCs w:val="22"/>
        </w:rPr>
        <w:t>定位到电平问题。模块回波输出为 5V 电平，直接接入主控引脚，超出主控引脚的耐压范围，导致引脚被钳位并使相关处理流程卡死。</w:t>
      </w:r>
    </w:p>
    <w:p w14:paraId="696C540A">
      <w:pPr>
        <w:pStyle w:val="16"/>
        <w:numPr>
          <w:ilvl w:val="0"/>
          <w:numId w:val="8"/>
        </w:numPr>
        <w:spacing w:after="50" w:line="320" w:lineRule="auto"/>
      </w:pPr>
      <w:r>
        <w:rPr>
          <w:sz w:val="22"/>
          <w:szCs w:val="22"/>
        </w:rPr>
        <w:t>规避方案。改为 GPIO 轮询方式读取回波，避开受影响的定时器捕获路径，并确认引脚电平处于可接受范围。</w:t>
      </w:r>
    </w:p>
    <w:p w14:paraId="4384CE95">
      <w:pPr>
        <w:pStyle w:val="4"/>
      </w:pPr>
      <w:r>
        <w:t>关键收获</w:t>
      </w:r>
    </w:p>
    <w:p w14:paraId="41D36C8B">
      <w:pPr>
        <w:pStyle w:val="19"/>
      </w:pPr>
      <w:r>
        <w:t>外设不工作时，电气特性检查应与软件配置检查同步进行。模块供电电压与主控 I/O 电压不一致是嵌入式开发中的高频故障源，而且它的表现常常不是"该外设不工作"，而是"整个系统变卡"，容易误导排查方向。</w:t>
      </w:r>
    </w:p>
    <w:p w14:paraId="2A5FA09D">
      <w:pPr>
        <w:pStyle w:val="3"/>
      </w:pPr>
      <w:r>
        <w:t>4.7 系统运行一段时间后冻结（RTOS 配置）</w:t>
      </w:r>
    </w:p>
    <w:p w14:paraId="7CB09F4E">
      <w:pPr>
        <w:pStyle w:val="22"/>
      </w:pPr>
      <w:r>
        <w:t>现象：系统运行数分钟至数十分钟后完全无响应，需断电重启</w:t>
      </w:r>
    </w:p>
    <w:p w14:paraId="7570B4E7">
      <w:pPr>
        <w:pStyle w:val="4"/>
      </w:pPr>
      <w:r>
        <w:t>排查思路与过程</w:t>
      </w:r>
    </w:p>
    <w:p w14:paraId="64FEF9A8">
      <w:pPr>
        <w:pStyle w:val="16"/>
        <w:numPr>
          <w:ilvl w:val="0"/>
          <w:numId w:val="9"/>
        </w:numPr>
        <w:spacing w:after="50" w:line="320" w:lineRule="auto"/>
      </w:pPr>
      <w:r>
        <w:rPr>
          <w:sz w:val="22"/>
          <w:szCs w:val="22"/>
        </w:rPr>
        <w:t>启用栈溢出检测。开启 FreeRTOS 的栈溢出检查选项，观察是否触发钩子函数。</w:t>
      </w:r>
    </w:p>
    <w:p w14:paraId="22C3A698">
      <w:pPr>
        <w:pStyle w:val="16"/>
        <w:numPr>
          <w:ilvl w:val="0"/>
          <w:numId w:val="9"/>
        </w:numPr>
        <w:spacing w:after="50" w:line="320" w:lineRule="auto"/>
      </w:pPr>
      <w:r>
        <w:rPr>
          <w:sz w:val="22"/>
          <w:szCs w:val="22"/>
        </w:rPr>
        <w:t>发现新问题。钩子函数被触发后系统立即挂死，因为钩子内部实现不当进入了死循环，反而掩盖了原始故障。</w:t>
      </w:r>
    </w:p>
    <w:p w14:paraId="3C188B00">
      <w:pPr>
        <w:pStyle w:val="16"/>
        <w:numPr>
          <w:ilvl w:val="0"/>
          <w:numId w:val="9"/>
        </w:numPr>
        <w:spacing w:after="50" w:line="320" w:lineRule="auto"/>
      </w:pPr>
      <w:r>
        <w:rPr>
          <w:sz w:val="22"/>
          <w:szCs w:val="22"/>
        </w:rPr>
        <w:t>扩大栈空间。将各任务栈容量成倍增加，同时相应提高堆总容量以容纳新增的栈空间。</w:t>
      </w:r>
    </w:p>
    <w:p w14:paraId="38448A38">
      <w:pPr>
        <w:pStyle w:val="16"/>
        <w:numPr>
          <w:ilvl w:val="0"/>
          <w:numId w:val="9"/>
        </w:numPr>
        <w:spacing w:after="50" w:line="320" w:lineRule="auto"/>
      </w:pPr>
      <w:r>
        <w:rPr>
          <w:sz w:val="22"/>
          <w:szCs w:val="22"/>
        </w:rPr>
        <w:t>关闭检测钩子。在栈空间调整到位后关闭栈溢出检测，系统恢复长时间稳定运行。</w:t>
      </w:r>
    </w:p>
    <w:p w14:paraId="25155AA6">
      <w:pPr>
        <w:pStyle w:val="4"/>
      </w:pPr>
      <w:r>
        <w:t>关键收获</w:t>
      </w:r>
    </w:p>
    <w:p w14:paraId="3A7092F5">
      <w:pPr>
        <w:pStyle w:val="19"/>
      </w:pPr>
      <w:r>
        <w:t>调试机制本身也可能成为故障源。栈溢出钩子若实现为阻塞或死循环，在真实触发时会让系统彻底失去响应，反而无法获得有效信息。更稳妥的做法是在钩子中仅做最小记录，或直接通过扩大栈空间来消除问题。</w:t>
      </w:r>
    </w:p>
    <w:p w14:paraId="22C1781F">
      <w:pPr>
        <w:pStyle w:val="3"/>
      </w:pPr>
      <w:r>
        <w:t>4.8 屏幕闪烁与显示卡顿（时序层）</w:t>
      </w:r>
    </w:p>
    <w:p w14:paraId="1EDF7856">
      <w:pPr>
        <w:pStyle w:val="22"/>
      </w:pPr>
      <w:r>
        <w:t>现象：OLED 内容周期性闪烁，界面刷新明显卡顿</w:t>
      </w:r>
    </w:p>
    <w:p w14:paraId="27FB7EDC">
      <w:pPr>
        <w:pStyle w:val="4"/>
      </w:pPr>
      <w:r>
        <w:t>排查思路与过程</w:t>
      </w:r>
    </w:p>
    <w:p w14:paraId="5C270EB8">
      <w:pPr>
        <w:pStyle w:val="16"/>
        <w:numPr>
          <w:ilvl w:val="0"/>
          <w:numId w:val="10"/>
        </w:numPr>
        <w:spacing w:after="50" w:line="320" w:lineRule="auto"/>
      </w:pPr>
      <w:r>
        <w:rPr>
          <w:sz w:val="22"/>
          <w:szCs w:val="22"/>
        </w:rPr>
        <w:t>定位耗时环节。在显示流程中排查，发现 I2C 自检函数在每一帧都被调用。</w:t>
      </w:r>
    </w:p>
    <w:p w14:paraId="4D8714ED">
      <w:pPr>
        <w:pStyle w:val="16"/>
        <w:numPr>
          <w:ilvl w:val="0"/>
          <w:numId w:val="10"/>
        </w:numPr>
        <w:spacing w:after="50" w:line="320" w:lineRule="auto"/>
      </w:pPr>
      <w:r>
        <w:rPr>
          <w:sz w:val="22"/>
          <w:szCs w:val="22"/>
        </w:rPr>
        <w:t>分析触发条件。自检读取数据线电平，一旦读到低电平就认为屏幕失联并执行完整重新初始化，而重新初始化耗时上百毫秒。</w:t>
      </w:r>
    </w:p>
    <w:p w14:paraId="6042B188">
      <w:pPr>
        <w:pStyle w:val="16"/>
        <w:numPr>
          <w:ilvl w:val="0"/>
          <w:numId w:val="10"/>
        </w:numPr>
        <w:spacing w:after="50" w:line="320" w:lineRule="auto"/>
      </w:pPr>
      <w:r>
        <w:rPr>
          <w:sz w:val="22"/>
          <w:szCs w:val="22"/>
        </w:rPr>
        <w:t>增加频率限制。将自检与重新初始化的最小间隔限制为两秒，避免每帧重复执行，闪烁与卡顿消除。</w:t>
      </w:r>
    </w:p>
    <w:p w14:paraId="50B4D4C2">
      <w:pPr>
        <w:pStyle w:val="4"/>
      </w:pPr>
      <w:r>
        <w:t>关键收获</w:t>
      </w:r>
    </w:p>
    <w:p w14:paraId="400E0317">
      <w:pPr>
        <w:pStyle w:val="19"/>
      </w:pPr>
      <w:r>
        <w:t>健壮性设计需要考虑执行代价。在高频循环中调用带有长耗时分支的函数，即使该分支很少触发，一旦被触发就会显著影响整个系统的实时性。对这类保护性逻辑设置执行频率上限是必要的。</w:t>
      </w:r>
    </w:p>
    <w:p w14:paraId="4E7136B1">
      <w:r>
        <w:br w:type="page"/>
      </w:r>
    </w:p>
    <w:p w14:paraId="41427CE9">
      <w:pPr>
        <w:pStyle w:val="2"/>
      </w:pPr>
      <w:r>
        <w:t>5. 项目主要技术难点归纳</w:t>
      </w:r>
    </w:p>
    <w:p w14:paraId="30D727EC">
      <w:pPr>
        <w:pStyle w:val="3"/>
      </w:pPr>
      <w:r>
        <w:t>5.1 多源异构传感器融合</w:t>
      </w:r>
    </w:p>
    <w:p w14:paraId="76B5BC81">
      <w:pPr>
        <w:pStyle w:val="19"/>
      </w:pPr>
      <w:r>
        <w:t>系统同时接入视觉、毫米波、超声波、惯性与气体五类传感器，它们的更新频率、数据格式、可靠性与失效模式各不相同。视觉约十帧每秒且有漏检，毫米波二十帧每秒但会检出静止环境物体，超声波同步轮询存在忙等且可能失联，惯性传感器可能未连接。</w:t>
      </w:r>
    </w:p>
    <w:p w14:paraId="058CFC6A">
      <w:pPr>
        <w:pStyle w:val="19"/>
      </w:pPr>
      <w:r>
        <w:t>融合策略必须处理三种情况：数据冲突时以哪个为准、某个传感器失效时如何降级、以及各传感器输出的语义边界在哪里。本项目采用分级预警机制，按可信度与响应速度分配各传感器的职责，并对失效情况设计了明确的回退路径。</w:t>
      </w:r>
    </w:p>
    <w:p w14:paraId="4C71C360">
      <w:pPr>
        <w:pStyle w:val="3"/>
      </w:pPr>
      <w:r>
        <w:t>5.2 实时性与资源约束的平衡</w:t>
      </w:r>
    </w:p>
    <w:p w14:paraId="0A754036">
      <w:pPr>
        <w:pStyle w:val="19"/>
      </w:pPr>
      <w:r>
        <w:t>四个超声波模块采用同步轮询方式，单次完整测距会占用主控数十毫秒的忙等时间。这段时间内 CPU 无法执行其他任务，直接影响电机控制的刷新率与显示流畅度。</w:t>
      </w:r>
    </w:p>
    <w:p w14:paraId="786E5E0A">
      <w:pPr>
        <w:pStyle w:val="19"/>
      </w:pPr>
      <w:r>
        <w:t>可选方案包括改用定时器输入捕获实现异步测距、错开各模块的触发时刻、或提高电机任务优先级。本项目在不改动硬件接线的前提下，通过调整任务优先级缓解了电机刷新延迟，但这属于权宜之计，彻底解决需要将超声波改为异步采集。</w:t>
      </w:r>
    </w:p>
    <w:p w14:paraId="72ABB00B">
      <w:pPr>
        <w:pStyle w:val="3"/>
      </w:pPr>
      <w:r>
        <w:t>5.3 K230 与 STM32 的双主控协同</w:t>
      </w:r>
    </w:p>
    <w:p w14:paraId="276B1573">
      <w:pPr>
        <w:pStyle w:val="19"/>
      </w:pPr>
      <w:r>
        <w:t>K230 负责算力密集的视觉推理，STM32 负责实时控制，两者通过串口通信。协同的难点在于：K230 的推理结果有延迟且不保证连续，STM32 不能因为等待视觉数据而阻塞控制循环，同时需要处理 K230 未启动、重启或通信中断等异常场景。</w:t>
      </w:r>
    </w:p>
    <w:p w14:paraId="28E2016C">
      <w:pPr>
        <w:pStyle w:val="19"/>
      </w:pPr>
      <w:r>
        <w:t>本项目的处理方式是让视觉数据作为决策的增强输入而非必要条件，视觉失联时系统降级为仅依赖雷达与超声波的模式，保证基本功能不中断。</w:t>
      </w:r>
    </w:p>
    <w:p w14:paraId="07C7DE60">
      <w:pPr>
        <w:pStyle w:val="3"/>
      </w:pPr>
      <w:r>
        <w:t>5.4 电源完整性</w:t>
      </w:r>
    </w:p>
    <w:p w14:paraId="05FD62C6">
      <w:pPr>
        <w:pStyle w:val="19"/>
      </w:pPr>
      <w:r>
        <w:t>这是本项目耗时最长、也最容易被低估的难点。系统包含视觉模块、气体传感器加热丝与四路电机三类大电流负载，同时又有单片机、传感器等对电压敏感的器件。单一稳压模块供电的方案在电流裕量、瞬态响应与接触电阻三方面都存在不足。</w:t>
      </w:r>
    </w:p>
    <w:p w14:paraId="1101C4BF">
      <w:pPr>
        <w:pStyle w:val="19"/>
      </w:pPr>
      <w:r>
        <w:t>电源问题的隐蔽性在于它不报任何错误，只表现为执行器无力、系统偶发复位或时好时坏。排查这类问题必须借助实测电压与电流，仅凭代码审查无法发现。</w:t>
      </w:r>
    </w:p>
    <w:p w14:paraId="08DA1C55">
      <w:pPr>
        <w:pStyle w:val="3"/>
      </w:pPr>
      <w:r>
        <w:t>5.5 面包板原型的可靠性</w:t>
      </w:r>
    </w:p>
    <w:p w14:paraId="47CB21D5">
      <w:pPr>
        <w:pStyle w:val="19"/>
      </w:pPr>
      <w:r>
        <w:t>项目使用面包板与杜邦线搭建，便于快速迭代，但也带来了接触电阻大、簧片额定电流低、振动易松动等问题。多个"时好时坏"的故障最终都指向接触不良。在需要大电流的功率路径上使用面包板属于设计缺陷，后续若制作正式版本，应改为焊接电路板并将功率路径与信号路径分开布线。</w:t>
      </w:r>
    </w:p>
    <w:p w14:paraId="10D4A9E6">
      <w:r>
        <w:br w:type="page"/>
      </w:r>
    </w:p>
    <w:p w14:paraId="51A1B954">
      <w:pPr>
        <w:pStyle w:val="2"/>
      </w:pPr>
      <w:r>
        <w:t>6. 经验总结与后续建议</w:t>
      </w:r>
    </w:p>
    <w:p w14:paraId="710450B9">
      <w:pPr>
        <w:pStyle w:val="3"/>
      </w:pPr>
      <w:r>
        <w:t>6.1 有效的工作方法</w:t>
      </w:r>
    </w:p>
    <w:p w14:paraId="5F4C73D7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维护已知可用的历史版本。本项目保存了多个阶段性可用版本，在出现回归问题时通过差异比对快速定位改动点，这是效率最高的手段。</w:t>
      </w:r>
    </w:p>
    <w:p w14:paraId="55EA0F6C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用硬件事实为软件免责。读取定时器寄存器与复位标志，能够明确判断问题是否在软件侧，避免在错误的方向上持续投入。</w:t>
      </w:r>
    </w:p>
    <w:p w14:paraId="4E4464CC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诊断代码即用即清。临时的探针在定位问题后必须全部移除，否则会残留在生产版本中造成显示混乱与维护负担。</w:t>
      </w:r>
    </w:p>
    <w:p w14:paraId="4258A51E">
      <w:pPr>
        <w:pStyle w:val="16"/>
        <w:numPr>
          <w:ilvl w:val="0"/>
          <w:numId w:val="2"/>
        </w:numPr>
        <w:spacing w:after="50" w:line="320" w:lineRule="auto"/>
      </w:pPr>
      <w:r>
        <w:rPr>
          <w:sz w:val="22"/>
          <w:szCs w:val="22"/>
        </w:rPr>
        <w:t>区分触发条件与根本原因。多个问题表现为某个模块异常，根因却在其他层级，沿信号流追到末端才能定位。</w:t>
      </w:r>
    </w:p>
    <w:p w14:paraId="72A55BD0">
      <w:pPr>
        <w:pStyle w:val="3"/>
      </w:pPr>
      <w:r>
        <w:t>6.2 待改进事项</w:t>
      </w:r>
    </w:p>
    <w:p w14:paraId="24CCDA6E">
      <w:pPr>
        <w:pStyle w:val="16"/>
        <w:numPr>
          <w:ilvl w:val="0"/>
          <w:numId w:val="11"/>
        </w:numPr>
        <w:spacing w:after="50" w:line="320" w:lineRule="auto"/>
      </w:pPr>
      <w:r>
        <w:rPr>
          <w:sz w:val="22"/>
          <w:szCs w:val="22"/>
        </w:rPr>
        <w:t>供电改造：实现电机功率与逻辑电路分路供电，电机直接由电池供电并与逻辑共地。</w:t>
      </w:r>
    </w:p>
    <w:p w14:paraId="65048BCB">
      <w:pPr>
        <w:pStyle w:val="16"/>
        <w:numPr>
          <w:ilvl w:val="0"/>
          <w:numId w:val="11"/>
        </w:numPr>
        <w:spacing w:after="50" w:line="320" w:lineRule="auto"/>
      </w:pPr>
      <w:r>
        <w:rPr>
          <w:sz w:val="22"/>
          <w:szCs w:val="22"/>
        </w:rPr>
        <w:t>超声波异步化：改用定时器输入捕获，消除同步轮询的忙等，释放 CPU 时间。</w:t>
      </w:r>
    </w:p>
    <w:p w14:paraId="11B490D7">
      <w:pPr>
        <w:pStyle w:val="16"/>
        <w:numPr>
          <w:ilvl w:val="0"/>
          <w:numId w:val="11"/>
        </w:numPr>
        <w:spacing w:after="50" w:line="320" w:lineRule="auto"/>
      </w:pPr>
      <w:r>
        <w:rPr>
          <w:sz w:val="22"/>
          <w:szCs w:val="22"/>
        </w:rPr>
        <w:t>实测替换估算：按供电分析文档中的验证清单完成电流与电压实测，用真实数据替换现有估算值。</w:t>
      </w:r>
    </w:p>
    <w:p w14:paraId="49DCFC1E">
      <w:pPr>
        <w:pStyle w:val="16"/>
        <w:numPr>
          <w:ilvl w:val="0"/>
          <w:numId w:val="11"/>
        </w:numPr>
        <w:spacing w:after="50" w:line="320" w:lineRule="auto"/>
      </w:pPr>
      <w:r>
        <w:rPr>
          <w:sz w:val="22"/>
          <w:szCs w:val="22"/>
        </w:rPr>
        <w:t>硬件固化：将面包板原型改为焊接电路板，功率路径使用足够截面积的走线。</w:t>
      </w:r>
    </w:p>
    <w:p w14:paraId="317A0CD6">
      <w:pPr>
        <w:pStyle w:val="16"/>
        <w:numPr>
          <w:ilvl w:val="0"/>
          <w:numId w:val="11"/>
        </w:numPr>
        <w:spacing w:after="50" w:line="320" w:lineRule="auto"/>
      </w:pPr>
      <w:r>
        <w:rPr>
          <w:sz w:val="22"/>
          <w:szCs w:val="22"/>
        </w:rPr>
        <w:t>电容配置：在电机驱动芯片的功率端就近增加大容量电解电容与陶瓷电容，吸收启动瞬态冲击。</w:t>
      </w:r>
    </w:p>
    <w:p w14:paraId="0F28098F">
      <w:pPr>
        <w:pStyle w:val="3"/>
      </w:pPr>
      <w:r>
        <w:t>6.3 结语</w:t>
      </w:r>
    </w:p>
    <w:p w14:paraId="0E96BBF1">
      <w:pPr>
        <w:pStyle w:val="19"/>
      </w:pPr>
      <w:r>
        <w:t>本项目的问题分布覆盖了嵌入式开发的各个典型层面：从字库编码、引脚电平这类驱动与电气细节，到帧格式解析的协议一致性，再到控制策略的逻辑自洽性、多任务的时序耦合，最后是容易被忽视却影响最大的电源完整性。</w:t>
      </w:r>
    </w:p>
    <w:p w14:paraId="650BDD7D">
      <w:pPr>
        <w:pStyle w:val="19"/>
      </w:pPr>
      <w:r>
        <w:t>回顾整个过程，最大的收获不是解决了多少具体问题，而是形成了一套分层的、以证据为依据的排查习惯：先定位层级，再选择该层级对应的验证手段，用硬件事实而非推测来推进判断，确认后只做最小改动并清除诊断代码。这套方法在后续任何嵌入式项目中都可以直接复用。</w:t>
      </w:r>
    </w:p>
    <w:sectPr>
      <w:footerReference r:id="rId3" w:type="default"/>
      <w:pgSz w:w="11906" w:h="16838"/>
      <w:pgMar w:top="1440" w:right="1300" w:bottom="144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C8319">
    <w:pPr>
      <w:jc w:val="center"/>
    </w:pPr>
    <w:r>
      <w:rPr>
        <w:color w:val="767676"/>
        <w:sz w:val="18"/>
        <w:szCs w:val="18"/>
      </w:rPr>
      <w:t xml:space="preserve">第 </w:t>
    </w:r>
    <w:r>
      <w:rPr>
        <w:color w:val="767676"/>
        <w:sz w:val="18"/>
        <w:szCs w:val="18"/>
      </w:rPr>
      <w:fldChar w:fldCharType="begin"/>
    </w:r>
    <w:r>
      <w:rPr>
        <w:color w:val="767676"/>
        <w:sz w:val="18"/>
        <w:szCs w:val="18"/>
      </w:rPr>
      <w:instrText xml:space="preserve">PAGE</w:instrText>
    </w:r>
    <w:r>
      <w:rPr>
        <w:color w:val="767676"/>
        <w:sz w:val="18"/>
        <w:szCs w:val="18"/>
      </w:rPr>
      <w:fldChar w:fldCharType="separate"/>
    </w:r>
    <w:r>
      <w:rPr>
        <w:color w:val="767676"/>
        <w:sz w:val="18"/>
        <w:szCs w:val="18"/>
      </w:rPr>
      <w:fldChar w:fldCharType="end"/>
    </w:r>
    <w:r>
      <w:rPr>
        <w:color w:val="767676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6CB9A"/>
    <w:multiLevelType w:val="singleLevel"/>
    <w:tmpl w:val="8036CB9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9D7B5EC2"/>
    <w:multiLevelType w:val="singleLevel"/>
    <w:tmpl w:val="9D7B5EC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A1129243"/>
    <w:multiLevelType w:val="singleLevel"/>
    <w:tmpl w:val="A112924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B95C61D8"/>
    <w:multiLevelType w:val="singleLevel"/>
    <w:tmpl w:val="B95C61D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CCFEE6F3"/>
    <w:multiLevelType w:val="singleLevel"/>
    <w:tmpl w:val="CCFEE6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6">
    <w:nsid w:val="0DE4DC82"/>
    <w:multiLevelType w:val="singleLevel"/>
    <w:tmpl w:val="0DE4DC82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1061C016"/>
    <w:multiLevelType w:val="singleLevel"/>
    <w:tmpl w:val="1061C01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1D3CBAE6"/>
    <w:multiLevelType w:val="singleLevel"/>
    <w:tmpl w:val="1D3CBAE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221731F6"/>
    <w:multiLevelType w:val="singleLevel"/>
    <w:tmpl w:val="221731F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2C23C9"/>
    <w:rsid w:val="3FDB46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Arial" w:eastAsia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10"/>
      <w:outlineLvl w:val="1"/>
    </w:pPr>
    <w:rPr>
      <w:rFonts w:ascii="Arial" w:eastAsia="微软雅黑"/>
      <w:b/>
      <w:bCs/>
      <w:color w:val="3B6CA8"/>
      <w:sz w:val="26"/>
      <w:szCs w:val="26"/>
    </w:rPr>
  </w:style>
  <w:style w:type="paragraph" w:styleId="4">
    <w:name w:val="heading 3"/>
    <w:next w:val="1"/>
    <w:qFormat/>
    <w:uiPriority w:val="0"/>
    <w:pPr>
      <w:spacing w:before="170" w:after="70"/>
      <w:outlineLvl w:val="2"/>
    </w:pPr>
    <w:rPr>
      <w:rFonts w:ascii="Arial" w:eastAsia="微软雅黑"/>
      <w:b/>
      <w:bCs/>
      <w:color w:val="1A1A1A"/>
      <w:sz w:val="23"/>
      <w:szCs w:val="23"/>
    </w:rPr>
  </w:style>
  <w:style w:type="paragraph" w:styleId="5">
    <w:name w:val="heading 4"/>
    <w:next w:val="1"/>
    <w:qFormat/>
    <w:uiPriority w:val="0"/>
    <w:rPr>
      <w:rFonts w:asci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eastAsia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eastAsia="微软雅黑"/>
      <w:color w:val="1A1A1A"/>
      <w:sz w:val="20"/>
      <w:szCs w:val="20"/>
    </w:rPr>
  </w:style>
  <w:style w:type="paragraph" w:styleId="10">
    <w:name w:val="Title"/>
    <w:qFormat/>
    <w:uiPriority w:val="0"/>
    <w:rPr>
      <w:rFonts w:ascii="Arial" w:eastAsia="微软雅黑"/>
      <w:color w:val="1A1A1A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10" w:line="340" w:lineRule="auto"/>
      <w:ind w:firstLine="440"/>
    </w:pPr>
    <w:rPr>
      <w:rFonts w:ascii="Arial" w:eastAsia="微软雅黑"/>
      <w:color w:val="1A1A1A"/>
      <w:sz w:val="22"/>
      <w:szCs w:val="22"/>
    </w:rPr>
  </w:style>
  <w:style w:type="paragraph" w:customStyle="1" w:styleId="20">
    <w:name w:val="Cap"/>
    <w:uiPriority w:val="0"/>
    <w:pPr>
      <w:spacing w:before="60" w:after="150"/>
      <w:jc w:val="center"/>
    </w:pPr>
    <w:rPr>
      <w:rFonts w:ascii="Arial" w:eastAsia="微软雅黑"/>
      <w:color w:val="767676"/>
      <w:sz w:val="18"/>
      <w:szCs w:val="18"/>
    </w:rPr>
  </w:style>
  <w:style w:type="paragraph" w:customStyle="1" w:styleId="21">
    <w:name w:val="Note"/>
    <w:uiPriority w:val="0"/>
    <w:pPr>
      <w:spacing w:after="110" w:line="340" w:lineRule="auto"/>
      <w:ind w:firstLine="440"/>
    </w:pPr>
    <w:rPr>
      <w:rFonts w:ascii="Arial" w:eastAsia="微软雅黑"/>
      <w:color w:val="B03A2E"/>
      <w:sz w:val="22"/>
      <w:szCs w:val="22"/>
    </w:rPr>
  </w:style>
  <w:style w:type="paragraph" w:customStyle="1" w:styleId="22">
    <w:name w:val="Tag"/>
    <w:uiPriority w:val="0"/>
    <w:pPr>
      <w:shd w:val="clear" w:fill="E8F3ED"/>
      <w:spacing w:before="80" w:after="130" w:line="320" w:lineRule="auto"/>
      <w:ind w:left="240" w:right="240"/>
    </w:pPr>
    <w:rPr>
      <w:rFonts w:ascii="Arial" w:eastAsia="微软雅黑"/>
      <w:b/>
      <w:bCs/>
      <w:color w:val="2E6B4F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196</Words>
  <Characters>267</Characters>
  <TotalTime>10</TotalTime>
  <ScaleCrop>false</ScaleCrop>
  <LinksUpToDate>false</LinksUpToDate>
  <CharactersWithSpaces>287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2026-09-05T13:15:00Z</dcterms:created>
  <dc:creator>Un-named</dc:creator>
  <cp:lastModifiedBy>龙涯</cp:lastModifiedBy>
  <dcterms:modified xsi:type="dcterms:W3CDTF">2026-09-05T15:42:34Z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eyJoZGlkIjoiMDYxM2RlMjQ0YzQwMWM4NjEzNWMzYzIyOTVkNzBlOWYiLCJ1c2VySWQiOiIxMDgyMjcwNjQ2In0=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65173958F1EA4AFBAA96ADB33A212F86_12</vt:lpwstr>
  </property>
</Properties>
</file>