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AI4I 2020 — Predictive Maintenance</w:t>
      </w:r>
    </w:p>
    <w:p>
      <w:pPr>
        <w:spacing w:after="400"/>
      </w:pPr>
      <w:r>
        <w:rPr>
          <w:color w:val="595959"/>
          <w:sz w:val="32"/>
        </w:rPr>
        <w:t>Exploratory Data Analysis Report</w:t>
      </w:r>
    </w:p>
    <w:p>
      <w:r>
        <w:rPr>
          <w:sz w:val="20"/>
        </w:rPr>
        <w:t xml:space="preserve">Prepared by: </w:t>
      </w:r>
      <w:r>
        <w:rPr>
          <w:b/>
          <w:sz w:val="20"/>
        </w:rPr>
        <w:t>Win</w:t>
      </w:r>
      <w:r>
        <w:rPr>
          <w:sz w:val="20"/>
        </w:rPr>
        <w:t xml:space="preserve">   |   Project #1 of 3 — Industrial Data Analyst Portfolio   |   May 2026</w:t>
      </w:r>
    </w:p>
    <w:p>
      <w:pPr>
        <w:spacing w:before="360" w:after="160"/>
        <w:pBdr>
          <w:bottom w:val="single" w:sz="8" w:color="1F3A5F" w:space="4"/>
        </w:pBdr>
      </w:pPr>
      <w:r>
        <w:rPr>
          <w:b/>
          <w:color w:val="1F3A5F"/>
          <w:sz w:val="36"/>
        </w:rPr>
        <w:t>1. Executive Summary</w:t>
      </w:r>
    </w:p>
    <w:p>
      <w:pPr>
        <w:spacing w:after="200"/>
      </w:pPr>
      <w:r>
        <w:rPr>
          <w:b w:val="0"/>
          <w:sz w:val="22"/>
        </w:rPr>
        <w:t>This report explores the AI4I 2020 dataset — 10,000 records of synthetic but realistic machine sensor readings designed to mirror real predictive-maintenance scenarios. The goal: understand how, when, and why machines fail, and turn that understanding into a foundation for a predictive model and a Looker Studio dashboard.</w:t>
      </w:r>
    </w:p>
    <w:p>
      <w:pPr>
        <w:spacing w:before="240" w:after="80"/>
      </w:pPr>
      <w:r>
        <w:rPr>
          <w:b/>
          <w:color w:val="1F3A5F"/>
          <w:sz w:val="26"/>
        </w:rPr>
        <w:t>Top-line numbers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F4F7FB"/>
          </w:tcPr>
          <w:p>
            <w:r/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Records analyzed</w:t>
            </w:r>
          </w:p>
          <w:p>
            <w:pPr>
              <w:jc w:val="center"/>
            </w:pPr>
            <w:r>
              <w:rPr>
                <w:b/>
                <w:color w:val="1F3A5F"/>
                <w:sz w:val="40"/>
              </w:rPr>
              <w:t>10,000</w:t>
            </w:r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0 missing, 0 duplicates</w:t>
            </w:r>
          </w:p>
        </w:tc>
        <w:tc>
          <w:tcPr>
            <w:tcW w:type="dxa" w:w="2436"/>
            <w:vAlign w:val="center"/>
            <w:shd w:val="clear" w:color="auto" w:fill="F4F7FB"/>
          </w:tcPr>
          <w:p>
            <w:r/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Failure rate</w:t>
            </w:r>
          </w:p>
          <w:p>
            <w:pPr>
              <w:jc w:val="center"/>
            </w:pPr>
            <w:r>
              <w:rPr>
                <w:b/>
                <w:color w:val="1F3A5F"/>
                <w:sz w:val="40"/>
              </w:rPr>
              <w:t>3.39%</w:t>
            </w:r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339 of 10,000 machines</w:t>
            </w:r>
          </w:p>
        </w:tc>
        <w:tc>
          <w:tcPr>
            <w:tcW w:type="dxa" w:w="2436"/>
            <w:vAlign w:val="center"/>
            <w:shd w:val="clear" w:color="auto" w:fill="F4F7FB"/>
          </w:tcPr>
          <w:p>
            <w:r/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Most common cause</w:t>
            </w:r>
          </w:p>
          <w:p>
            <w:pPr>
              <w:jc w:val="center"/>
            </w:pPr>
            <w:r>
              <w:rPr>
                <w:b/>
                <w:color w:val="1F3A5F"/>
                <w:sz w:val="40"/>
              </w:rPr>
              <w:t>HDF</w:t>
            </w:r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Heat Dissipation — 33.9%</w:t>
            </w:r>
          </w:p>
        </w:tc>
        <w:tc>
          <w:tcPr>
            <w:tcW w:type="dxa" w:w="2436"/>
            <w:vAlign w:val="center"/>
            <w:shd w:val="clear" w:color="auto" w:fill="F4F7FB"/>
          </w:tcPr>
          <w:p>
            <w:r/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Highest-risk variant</w:t>
            </w:r>
          </w:p>
          <w:p>
            <w:pPr>
              <w:jc w:val="center"/>
            </w:pPr>
            <w:r>
              <w:rPr>
                <w:b/>
                <w:color w:val="1F3A5F"/>
                <w:sz w:val="40"/>
              </w:rPr>
              <w:t>L (Low)</w:t>
            </w:r>
          </w:p>
          <w:p>
            <w:pPr>
              <w:jc w:val="center"/>
            </w:pPr>
            <w:r>
              <w:rPr>
                <w:b w:val="0"/>
                <w:color w:val="595959"/>
                <w:sz w:val="18"/>
              </w:rPr>
              <w:t>3.92% fail rate</w:t>
            </w:r>
          </w:p>
        </w:tc>
      </w:tr>
    </w:tbl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B"/>
          </w:tcPr>
          <w:p>
            <w:r/>
            <w:r>
              <w:rPr>
                <w:b/>
                <w:color w:val="1F3A5F"/>
                <w:sz w:val="22"/>
              </w:rPr>
              <w:t>Bottom line</w:t>
            </w:r>
          </w:p>
          <w:p>
            <w:r>
              <w:rPr>
                <w:sz w:val="20"/>
              </w:rPr>
              <w:t>Failures are rare (3.4%) but predictable. Heat dissipation issues drive a third of all failures, and lower-grade machines fail almost twice as often as high-grade ones.</w:t>
            </w:r>
          </w:p>
        </w:tc>
      </w:tr>
    </w:tbl>
    <w:p>
      <w:pPr>
        <w:spacing w:after="40"/>
      </w:pPr>
    </w:p>
    <w:p>
      <w:pPr>
        <w:spacing w:before="360" w:after="160"/>
        <w:pBdr>
          <w:bottom w:val="single" w:sz="8" w:color="1F3A5F" w:space="4"/>
        </w:pBdr>
      </w:pPr>
      <w:r>
        <w:rPr>
          <w:b/>
          <w:color w:val="1F3A5F"/>
          <w:sz w:val="36"/>
        </w:rPr>
        <w:t>2. Key Findings</w:t>
      </w:r>
    </w:p>
    <w:p>
      <w:pPr>
        <w:spacing w:before="240" w:after="80"/>
      </w:pPr>
      <w:r>
        <w:rPr>
          <w:b/>
          <w:color w:val="1F3A5F"/>
          <w:sz w:val="26"/>
        </w:rPr>
        <w:t>Finding 1 — Failures are rare but real</w:t>
      </w:r>
    </w:p>
    <w:p>
      <w:pPr>
        <w:spacing w:after="120"/>
      </w:pPr>
      <w:r>
        <w:rPr>
          <w:b w:val="0"/>
          <w:sz w:val="22"/>
        </w:rPr>
        <w:t>Out of 10,000 machine cycles, 339 ended in failure. That is a 3.39% failure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802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failure_r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802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1 — Overall machine failure rate (339 / 10,000)</w:t>
      </w:r>
    </w:p>
    <w:p>
      <w:pPr>
        <w:spacing w:before="240" w:after="80"/>
      </w:pPr>
      <w:r>
        <w:rPr>
          <w:b/>
          <w:color w:val="1F3A5F"/>
          <w:sz w:val="26"/>
        </w:rPr>
        <w:t>Finding 2 — Heat dissipation is the single biggest cause</w:t>
      </w:r>
    </w:p>
    <w:p>
      <w:pPr>
        <w:spacing w:after="120"/>
      </w:pPr>
      <w:r>
        <w:rPr>
          <w:b w:val="0"/>
          <w:sz w:val="22"/>
        </w:rPr>
        <w:t>When a machine does fail, the most likely reason is HDF — 115 of the 339 failures.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1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2_failure_mod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1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2 — Failure breakdown by cause</w:t>
      </w:r>
    </w:p>
    <w:p>
      <w:pPr>
        <w:spacing w:before="240" w:after="80"/>
      </w:pPr>
      <w:r>
        <w:rPr>
          <w:b/>
          <w:color w:val="1F3A5F"/>
          <w:sz w:val="26"/>
        </w:rPr>
        <w:t>Finding 3 — Lower-quality machines fail nearly 2× more</w:t>
      </w:r>
    </w:p>
    <w:p>
      <w:pPr>
        <w:spacing w:after="120"/>
      </w:pPr>
      <w:r>
        <w:rPr>
          <w:b w:val="0"/>
          <w:sz w:val="22"/>
        </w:rPr>
        <w:t>L (Low) variant fails at 3.92% — almost double the H (High) variant's 2.09%.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4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3_failure_by_ty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3 — Failure rate by quality variant</w:t>
      </w:r>
    </w:p>
    <w:p>
      <w:r>
        <w:br w:type="page"/>
      </w:r>
    </w:p>
    <w:p>
      <w:pPr>
        <w:spacing w:before="240" w:after="80"/>
      </w:pPr>
      <w:r>
        <w:rPr>
          <w:b/>
          <w:color w:val="1F3A5F"/>
          <w:sz w:val="26"/>
        </w:rPr>
        <w:t>Finding 4 — Failures cluster in a clear operating window</w:t>
      </w:r>
    </w:p>
    <w:p>
      <w:pPr>
        <w:spacing w:after="120"/>
      </w:pPr>
      <w:r>
        <w:rPr>
          <w:b w:val="0"/>
          <w:sz w:val="22"/>
        </w:rPr>
        <w:t>Failures concentrate where torque is high AND rotational speed is low — the danger zone.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189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4_operating_wind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8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4 — Operating window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2FB"/>
          </w:tcPr>
          <w:p>
            <w:r/>
            <w:r>
              <w:rPr>
                <w:b/>
                <w:color w:val="1F3A5F"/>
                <w:sz w:val="22"/>
              </w:rPr>
              <w:t>Operational rule of thumb</w:t>
            </w:r>
          </w:p>
          <w:p>
            <w:r>
              <w:rPr>
                <w:sz w:val="20"/>
              </w:rPr>
              <w:t>If torque &gt; 60 Nm AND rotational speed &lt; 1,400 rpm, the machine is in the high-risk zone — 40% failure rate vs 3.4% baseline.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1F3A5F"/>
          <w:sz w:val="26"/>
        </w:rPr>
        <w:t>Finding 5 — No single sensor predicts failure alone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798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5_sensors_spl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8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595959"/>
          <w:sz w:val="18"/>
        </w:rPr>
        <w:t>Figure 5 — Sensor distributions: healthy vs failure</w:t>
      </w:r>
    </w:p>
    <w:p>
      <w:pPr>
        <w:spacing w:before="360" w:after="160"/>
        <w:pBdr>
          <w:bottom w:val="single" w:sz="8" w:color="1F3A5F" w:space="4"/>
        </w:pBdr>
      </w:pPr>
      <w:r>
        <w:rPr>
          <w:b/>
          <w:color w:val="1F3A5F"/>
          <w:sz w:val="36"/>
        </w:rPr>
        <w:t>3. Business Impact</w:t>
      </w:r>
    </w:p>
    <w:p>
      <w:pPr>
        <w:spacing w:after="160"/>
      </w:pPr>
      <w:r>
        <w:rPr>
          <w:b w:val="0"/>
          <w:sz w:val="22"/>
        </w:rPr>
        <w:t>A predictive model targeting HDF + OSF + PWF could catch ~85% of all failures. If a Thai factory loses THB 50,000 per hour of unplanned downtime and currently averages 8 failures per day at 30 minutes each, that is THB 200,000 per day in losses. A model preventing half of those failures saves ~THB 3M per month per line.</w:t>
      </w:r>
    </w:p>
    <w:p>
      <w:pPr>
        <w:spacing w:before="360" w:after="160"/>
        <w:pBdr>
          <w:bottom w:val="single" w:sz="8" w:color="1F3A5F" w:space="4"/>
        </w:pBdr>
      </w:pPr>
      <w:r>
        <w:rPr>
          <w:b/>
          <w:color w:val="1F3A5F"/>
          <w:sz w:val="36"/>
        </w:rPr>
        <w:t>4. Next Steps</w:t>
      </w:r>
    </w:p>
    <w:p>
      <w:pPr>
        <w:spacing w:after="80"/>
      </w:pPr>
      <w:r>
        <w:rPr>
          <w:b w:val="0"/>
          <w:sz w:val="22"/>
        </w:rPr>
        <w:t>1. Build Looker Studio dashboard from data/processed/ai4i_clean.csv</w:t>
      </w:r>
    </w:p>
    <w:p>
      <w:pPr>
        <w:spacing w:after="80"/>
      </w:pPr>
      <w:r>
        <w:rPr>
          <w:b w:val="0"/>
          <w:sz w:val="22"/>
        </w:rPr>
        <w:t>2. Project #2 — Predictive ML model (Random Forest / XGBoost)</w:t>
      </w:r>
    </w:p>
    <w:p>
      <w:pPr>
        <w:spacing w:after="80"/>
      </w:pPr>
      <w:r>
        <w:rPr>
          <w:b w:val="0"/>
          <w:sz w:val="22"/>
        </w:rPr>
        <w:t>3. Apply to NEXPIE, Siemens Thailand, PTT/IRPC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