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0F172A"/>
          <w:sz w:val="32"/>
        </w:rPr>
        <w:t>PT Winandi Multi Solusi</w:t>
      </w:r>
    </w:p>
    <w:p>
      <w:r>
        <w:rPr>
          <w:color w:val="64748B"/>
          <w:sz w:val="18"/>
        </w:rPr>
        <w:t>www.winamus.com | hello@winamus.com | +62 857 3376 3005</w:t>
      </w:r>
    </w:p>
    <w:p>
      <w:r>
        <w:t>────────────────────────────────────────────────────────────────────────────────</w:t>
      </w:r>
    </w:p>
    <w:p>
      <w:pPr>
        <w:pStyle w:val="Heading2"/>
      </w:pPr>
      <w:r>
        <w:t>QUOTATION / PENAWARAN HARGA</w:t>
      </w:r>
    </w:p>
    <w:p>
      <w:r>
        <w:rPr>
          <w:sz w:val="21"/>
        </w:rPr>
        <w:t>Pengembangan Platform Website Terpusat Nasmoco</w:t>
        <w:br/>
        <w:t>Revisi 1 — Juli 2026</w:t>
      </w:r>
    </w:p>
    <w:p>
      <w:r>
        <w:rPr>
          <w:sz w:val="21"/>
        </w:rPr>
        <w:t>Lingkup Pekerjaan &amp;amp; Rincian Biaya</w:t>
        <w:br/>
        <w:t>Fase 0: Discovery &amp;amp; Desain</w:t>
      </w:r>
    </w:p>
    <w:p>
      <w:r>
        <w:rPr>
          <w:sz w:val="21"/>
        </w:rPr>
        <w:t>Durasi</w:t>
        <w:br/>
        <w:t xml:space="preserve">  1–2 Minggu</w:t>
      </w:r>
    </w:p>
    <w:p>
      <w:r>
        <w:rPr>
          <w:sz w:val="21"/>
        </w:rPr>
        <w:t>Deliverables</w:t>
        <w:br/>
        <w:t xml:space="preserve">  Finalisasi SRS, Desain UI/UX Figma, Arsitektur Sistem</w:t>
      </w:r>
    </w:p>
    <w:p>
      <w:r>
        <w:rPr>
          <w:sz w:val="21"/>
        </w:rPr>
        <w:t>Total Biaya</w:t>
        <w:br/>
        <w:t xml:space="preserve">  Rp4.500.000</w:t>
      </w:r>
    </w:p>
    <w:p>
      <w:r>
        <w:rPr>
          <w:sz w:val="21"/>
        </w:rPr>
        <w:t>DP 30% (Awal Fase)</w:t>
        <w:br/>
        <w:t xml:space="preserve">  Rp1.350.000</w:t>
      </w:r>
    </w:p>
    <w:p>
      <w:r>
        <w:rPr>
          <w:sz w:val="21"/>
        </w:rPr>
        <w:t>Pelunasan 70% (Setelah UAT)</w:t>
        <w:br/>
        <w:t xml:space="preserve">  Rp3.150.000</w:t>
      </w:r>
    </w:p>
    <w:p>
      <w:r>
        <w:rPr>
          <w:sz w:val="21"/>
        </w:rPr>
        <w:t>Fase 1: Inti / MVP</w:t>
      </w:r>
    </w:p>
    <w:p>
      <w:r>
        <w:rPr>
          <w:sz w:val="21"/>
        </w:rPr>
        <w:t>Durasi</w:t>
        <w:br/>
        <w:t xml:space="preserve">  4–6 Minggu (Go-Live MVP Minggu ke-8)</w:t>
      </w:r>
    </w:p>
    <w:p>
      <w:r>
        <w:rPr>
          <w:sz w:val="21"/>
        </w:rPr>
        <w:t>Deliverables</w:t>
        <w:br/>
        <w:t xml:space="preserve">  Migrasi PostgreSQL, Sistem Harga Terpusat, Page Builder, Anti-Hijack Lead, Integrasi CRM &amp;amp; WABA</w:t>
      </w:r>
    </w:p>
    <w:p>
      <w:r>
        <w:rPr>
          <w:sz w:val="21"/>
        </w:rPr>
        <w:t>Total Biaya</w:t>
        <w:br/>
        <w:t xml:space="preserve">  Rp27.000.000</w:t>
      </w:r>
    </w:p>
    <w:p>
      <w:r>
        <w:rPr>
          <w:sz w:val="21"/>
        </w:rPr>
        <w:t>DP 30% (Awal Fase)</w:t>
        <w:br/>
        <w:t xml:space="preserve">  Rp8.100.000</w:t>
      </w:r>
    </w:p>
    <w:p>
      <w:r>
        <w:rPr>
          <w:sz w:val="21"/>
        </w:rPr>
        <w:t>Pelunasan 70% (Setelah UAT)</w:t>
        <w:br/>
        <w:t xml:space="preserve">  Rp18.900.000</w:t>
      </w:r>
    </w:p>
    <w:p>
      <w:r>
        <w:rPr>
          <w:sz w:val="21"/>
        </w:rPr>
        <w:t>Fase 2: Governance &amp;amp; Hardening</w:t>
      </w:r>
    </w:p>
    <w:p>
      <w:r>
        <w:rPr>
          <w:sz w:val="21"/>
        </w:rPr>
        <w:t>Durasi</w:t>
        <w:br/>
        <w:t xml:space="preserve">  4–6 Minggu</w:t>
      </w:r>
    </w:p>
    <w:p>
      <w:r>
        <w:rPr>
          <w:sz w:val="21"/>
        </w:rPr>
        <w:t>Deliverables</w:t>
        <w:br/>
        <w:t xml:space="preserve">  Approval Workflow Bertingkat, Brand Lock, Kill Switch, Audit Log, MFA, Cloudflare WAF</w:t>
      </w:r>
    </w:p>
    <w:p>
      <w:r>
        <w:rPr>
          <w:sz w:val="21"/>
        </w:rPr>
        <w:t>Total Biaya</w:t>
        <w:br/>
        <w:t xml:space="preserve">  Rp23.400.000</w:t>
      </w:r>
    </w:p>
    <w:p>
      <w:r>
        <w:rPr>
          <w:sz w:val="21"/>
        </w:rPr>
        <w:t>DP 30% (Awal Fase)</w:t>
        <w:br/>
        <w:t xml:space="preserve">  Rp7.020.000</w:t>
      </w:r>
    </w:p>
    <w:p>
      <w:r>
        <w:rPr>
          <w:sz w:val="21"/>
        </w:rPr>
        <w:t>Pelunasan 70% (Setelah UAT)</w:t>
        <w:br/>
        <w:t xml:space="preserve">  Rp16.380.000</w:t>
      </w:r>
    </w:p>
    <w:p>
      <w:r>
        <w:rPr>
          <w:sz w:val="21"/>
        </w:rPr>
        <w:t>Fase 3: Optimasi &amp;amp; Validasi</w:t>
      </w:r>
    </w:p>
    <w:p>
      <w:r>
        <w:rPr>
          <w:sz w:val="21"/>
        </w:rPr>
        <w:t>Durasi</w:t>
        <w:br/>
        <w:t xml:space="preserve">  3–4 Minggu</w:t>
      </w:r>
    </w:p>
    <w:p>
      <w:r>
        <w:rPr>
          <w:sz w:val="21"/>
        </w:rPr>
        <w:t>Deliverables</w:t>
        <w:br/>
        <w:t xml:space="preserve">  SEO Lokal (22 Cabang), GEO Optimization, Dokumentasi Teknis, Video Tutorial &amp;amp; Technical Support melalui Email atau Phone/WhatsApp, Compliance Report TAM</w:t>
      </w:r>
    </w:p>
    <w:p>
      <w:r>
        <w:rPr>
          <w:sz w:val="21"/>
        </w:rPr>
        <w:t>Total Biaya</w:t>
        <w:br/>
        <w:t xml:space="preserve">  Rp16.200.000</w:t>
      </w:r>
    </w:p>
    <w:p>
      <w:r>
        <w:rPr>
          <w:sz w:val="21"/>
        </w:rPr>
        <w:t>DP 30% (Awal Fase)</w:t>
        <w:br/>
        <w:t xml:space="preserve">  Rp4.860.000</w:t>
      </w:r>
    </w:p>
    <w:p>
      <w:r>
        <w:rPr>
          <w:sz w:val="21"/>
        </w:rPr>
        <w:t>Pelunasan 70% (Setelah UAT)</w:t>
        <w:br/>
        <w:t xml:space="preserve">  Rp11.340.000</w:t>
      </w:r>
    </w:p>
    <w:p>
      <w:r>
        <w:rPr>
          <w:sz w:val="21"/>
        </w:rPr>
        <w:t>[!NOTE]</w:t>
        <w:br/>
        <w:t>Pengujian keamanan (Penetration Testing) tidak termasuk dalam quotation ini dan akan ditangani secara mandiri oleh tim internal Klien (Nasmoco).</w:t>
      </w:r>
    </w:p>
    <w:p>
      <w:r>
        <w:rPr>
          <w:sz w:val="21"/>
        </w:rPr>
        <w:t>Ringkasan Total Biaya Pengembangan</w:t>
      </w:r>
    </w:p>
    <w:p>
      <w:r>
        <w:rPr>
          <w:sz w:val="21"/>
        </w:rPr>
        <w:t>Komponen</w:t>
        <w:br/>
        <w:t xml:space="preserve">  Nilai</w:t>
      </w:r>
    </w:p>
    <w:p>
      <w:r>
        <w:rPr>
          <w:sz w:val="21"/>
        </w:rPr>
        <w:t>Fase 0 — Discovery &amp;amp; Desain</w:t>
        <w:br/>
        <w:t xml:space="preserve">  Rp4.500.000</w:t>
      </w:r>
    </w:p>
    <w:p>
      <w:r>
        <w:rPr>
          <w:sz w:val="21"/>
        </w:rPr>
        <w:t>Fase 1 — Inti / MVP</w:t>
        <w:br/>
        <w:t xml:space="preserve">  Rp27.000.000</w:t>
      </w:r>
    </w:p>
    <w:p>
      <w:r>
        <w:rPr>
          <w:sz w:val="21"/>
        </w:rPr>
        <w:t>Fase 2 — Governance &amp;amp; Hardening</w:t>
        <w:br/>
        <w:t xml:space="preserve">  Rp23.400.000</w:t>
      </w:r>
    </w:p>
    <w:p>
      <w:r>
        <w:rPr>
          <w:sz w:val="21"/>
        </w:rPr>
        <w:t>Fase 3 — Optimasi &amp;amp; Validasi</w:t>
        <w:br/>
        <w:t xml:space="preserve">  Rp16.200.000</w:t>
      </w:r>
    </w:p>
    <w:p>
      <w:r>
        <w:rPr>
          <w:sz w:val="21"/>
        </w:rPr>
        <w:t>TOTAL PENGEMBANGAN</w:t>
        <w:br/>
        <w:t xml:space="preserve">  Rp71.100.000</w:t>
      </w:r>
    </w:p>
    <w:p>
      <w:r>
        <w:rPr>
          <w:sz w:val="21"/>
        </w:rPr>
        <w:t>Total Uang Muka / DP (30%)</w:t>
        <w:br/>
        <w:t xml:space="preserve">  Rp21.330.000</w:t>
      </w:r>
    </w:p>
    <w:p>
      <w:r>
        <w:rPr>
          <w:sz w:val="21"/>
        </w:rPr>
        <w:t>Total Pelunasan (70%)</w:t>
        <w:br/>
        <w:t xml:space="preserve">  Rp49.770.000</w:t>
      </w:r>
    </w:p>
    <w:p>
      <w:r>
        <w:rPr>
          <w:sz w:val="21"/>
        </w:rPr>
        <w:t>Total Estimasi Waktu</w:t>
        <w:br/>
        <w:t xml:space="preserve">  18 Minggu</w:t>
      </w:r>
    </w:p>
    <w:p>
      <w:r>
        <w:rPr>
          <w:sz w:val="21"/>
        </w:rPr>
        <w:t>Biaya Pemeliharaan (Maintenance &amp;amp; Support)</w:t>
        <w:br/>
        <w:t>Berlaku mulai setelah Go-Live MVP (Fase 1) secara pro-rata.</w:t>
      </w:r>
    </w:p>
    <w:p>
      <w:r>
        <w:rPr>
          <w:sz w:val="21"/>
        </w:rPr>
        <w:t>Skenario</w:t>
        <w:br/>
        <w:t xml:space="preserve">  Bulanan</w:t>
        <w:br/>
        <w:t xml:space="preserve">  Tahunan (Hemat 1 Bulan)</w:t>
        <w:br/>
        <w:t xml:space="preserve">  Cakupan</w:t>
      </w:r>
    </w:p>
    <w:p>
      <w:r>
        <w:rPr>
          <w:sz w:val="21"/>
        </w:rPr>
        <w:t>Skenario 1: Hosting &amp;amp; WAF dikelola Winamus</w:t>
        <w:br/>
        <w:t xml:space="preserve">  Rp3.600.000</w:t>
        <w:br/>
        <w:t xml:space="preserve">  Rp39.600.000</w:t>
        <w:br/>
        <w:t xml:space="preserve">  Support 8 jam/bulan + Hosting ISO27001 + WAF</w:t>
      </w:r>
    </w:p>
    <w:p>
      <w:r>
        <w:rPr>
          <w:sz w:val="21"/>
        </w:rPr>
        <w:t>Skenario 2: Hosting &amp;amp; WAF dikelola Nasmoco</w:t>
        <w:br/>
        <w:t xml:space="preserve">  Rp1.800.000</w:t>
        <w:br/>
        <w:t xml:space="preserve">  Rp19.800.000</w:t>
        <w:br/>
        <w:t xml:space="preserve">  Support 8 jam/bulan + Pemantauan aplikasi</w:t>
      </w:r>
    </w:p>
    <w:p>
      <w:r>
        <w:rPr>
          <w:sz w:val="21"/>
        </w:rPr>
        <w:t>Syarat &amp;amp; Ketentuan Utama</w:t>
      </w:r>
    </w:p>
    <w:p>
      <w:r>
        <w:rPr>
          <w:sz w:val="21"/>
        </w:rPr>
        <w:t>Termin Pembayaran: DP 30% di awal setiap fase; Pelunasan 70% setelah UAT &amp;amp; BAST ditandatangani. Tenggat pembayaran: 14 hari kalender sejak invoice diterima.</w:t>
        <w:br/>
        <w:t>Garansi Bug: 30 hari setelah Go-Live di setiap fase untuk perbaikan bug yang timbul dari pengerjaan Vendor.</w:t>
        <w:br/>
        <w:t>Fleksibilitas Scope: Rincian biaya ini merupakan estimasi awal. Re-evaluasi final dilakukan setelah Fase 0 (SRS &amp;amp; Figma) selesai dan dituangkan dalam Adendum Kontrak.</w:t>
        <w:br/>
        <w:t>Hak Kekayaan Intelektual: Beralih ke Klien setelah pelunasan per fase. Desain dan source code tidak boleh digunakan pihak lain tanpa pelunasan penuh.</w:t>
        <w:br/>
        <w:t>Ketergantungan Timeline: Durasi pengerjaan dapat diperpanjang secara day-for-day jika terjadi keterlambatan dari sisi Klien (aset, API, keputusan UAT, atau pembayaran DP).</w:t>
        <w:br/>
        <w:t>Komitmen Paket: Seluruh fase (0–3) merupakan satu kesatuan komitmen proyek. Pembatalan sepihak sebelum proyek selesai dikenakan Termination Fee 15% dari sisa nilai fase yang belum berjalan.</w:t>
      </w:r>
    </w:p>
    <w:p>
      <w:r>
        <w:rPr>
          <w:sz w:val="21"/>
        </w:rPr>
        <w:t>Lampiran: Metodologi &amp;amp; Jaminan Kualitas Pengembangan (Hybrid Agile)</w:t>
        <w:br/>
        <w:t>Untuk memberikan kepastian investasi (Fixed Budget) dan ketepatan waktu peluncuran (Fixed Timeline 18 Minggu) bagi Nasmoco, namun tetap menjaga kelenturan pengembangan fitur, PT Winandi Multi Solusi menerapkan pendekatan Hybrid Agile (Water-Scrum-Fall).</w:t>
        <w:br/>
        <w:t>Di balik setiap Fase Komersial yang disepakati, tim kami menjalankan siklus rekayasa perangkat lunak standar industri (IEEE/TOGAF) yang terperinci sebagai berikut:</w:t>
        <w:br/>
        <w:t>1. Pemetaan Fase Komersial ke SOP Pengembangan Profesional</w:t>
      </w:r>
    </w:p>
    <w:p>
      <w:r>
        <w:rPr>
          <w:sz w:val="21"/>
        </w:rPr>
        <w:t>Fase 0: Discovery &amp;amp; Desain (SOP Fase 1–3)</w:t>
        <w:br/>
        <w:t>Aktivitas: Elicitation (SRS/BRD), analisis proses bisnis AS-IS &amp;amp; TO-BE, penyusunan WBS, dan pembuatan Interactive Prototype serta Design System (Figma) untuk validasi UI/UX awal.</w:t>
      </w:r>
    </w:p>
    <w:p>
      <w:r>
        <w:rPr>
          <w:sz w:val="21"/>
        </w:rPr>
        <w:t>Fase 1: Pengembangan Inti &amp;amp; Integrasi (SOP Fase 4–12)</w:t>
        <w:br/>
        <w:t>Aktivitas: Pembuatan arsitektur sistem (HLD/LLD), skema database (ERD), setup CI/CD pipeline otomatis, coding core engine, unit testing (coverage target ≥80%), deployment ke server Staging, pengujian UAT, hingga Hypercare 48 jam pasca Go-Live.</w:t>
      </w:r>
    </w:p>
    <w:p>
      <w:r>
        <w:rPr>
          <w:sz w:val="21"/>
        </w:rPr>
        <w:t>Fase 2: Alur Persetujuan &amp;amp; Keamanan (SOP Fase 5, 7–12)</w:t>
        <w:br/>
        <w:t>Aktivitas: Desain keamanan (data encryption, MFA, perlindungan OWASP Top 10), coding persetujuan berjenjang &amp;amp; brand lock, setup Cloudflare WAF, dan verifikasi integrasi.</w:t>
      </w:r>
    </w:p>
    <w:p>
      <w:r>
        <w:rPr>
          <w:sz w:val="21"/>
        </w:rPr>
        <w:t>Fase 3: Optimasi &amp;amp; Validasi (SOP Fase 9, 12–14)</w:t>
        <w:br/>
        <w:t>Aktivitas: Pengetesan beban (Stress &amp;amp; Load Testing), audit SEO lokal &amp;amp; berbasis AI (GEO), dokumentasi teknis akhir, pembuatan video tutorial, penyediaan bantuan teknis (Technical Support via Email/WA), dan penyusunan Compliance Report standar TAM.</w:t>
      </w:r>
    </w:p>
    <w:p>
      <w:r>
        <w:rPr>
          <w:sz w:val="21"/>
        </w:rPr>
        <w:t>2. Jaminan Kelenturan (Agile Flexibility)</w:t>
      </w:r>
    </w:p>
    <w:p>
      <w:r>
        <w:rPr>
          <w:sz w:val="21"/>
        </w:rPr>
        <w:t>Sprint Berkala (Feedback Loop): Pengembangan di setiap fase dibagi menjadi siklus kerja (sprint) 2 mingguan. Klien akan dilibatkan dalam demo berkala untuk melihat progress nyata dan memberikan masukan awal.</w:t>
        <w:br/>
        <w:t>Mekanisme Tukar Tambah Fitur (Scope Trade-off): Jika di tengah jalan Klien membutuhkan perubahan atau penambahan fitur baru, hal tersebut dapat diakomodasi dengan cara menukar fitur lain yang setara dalam hal bobot teknis (story points) pada fase berjalan, tanpa mengubah nilai kontrak dasar dan timeline.</w:t>
      </w:r>
    </w:p>
    <w:p>
      <w:r>
        <w:rPr>
          <w:sz w:val="21"/>
        </w:rPr>
        <w:t>Informasi Penagihan</w:t>
      </w:r>
    </w:p>
    <w:p>
      <w:r>
        <w:rPr>
          <w:sz w:val="21"/>
        </w:rPr>
        <w:t>Nama Perusahaan</w:t>
        <w:br/>
        <w:t xml:space="preserve">  PT Winandi Multi Solusi</w:t>
      </w:r>
    </w:p>
    <w:p>
      <w:r>
        <w:rPr>
          <w:sz w:val="21"/>
        </w:rPr>
        <w:t>NPWP</w:t>
        <w:br/>
        <w:t xml:space="preserve">  1000000009851947</w:t>
      </w:r>
    </w:p>
    <w:p>
      <w:r>
        <w:rPr>
          <w:sz w:val="21"/>
        </w:rPr>
        <w:t>Bank</w:t>
        <w:br/>
        <w:t xml:space="preserve">  -----</w:t>
      </w:r>
    </w:p>
    <w:p>
      <w:r>
        <w:rPr>
          <w:sz w:val="21"/>
        </w:rPr>
        <w:t>No. Rekening</w:t>
        <w:br/>
        <w:t xml:space="preserve">  -----</w:t>
      </w:r>
    </w:p>
    <w:p>
      <w:r>
        <w:rPr>
          <w:sz w:val="21"/>
        </w:rPr>
        <w:t>Atas Nama</w:t>
        <w:br/>
        <w:t xml:space="preserve">  PT Winandi Multi Solusi</w:t>
      </w:r>
    </w:p>
    <w:p>
      <w:r>
        <w:rPr>
          <w:sz w:val="21"/>
        </w:rPr>
        <w:t>[!IMPORTANT]</w:t>
        <w:br/>
        <w:t>Untuk efisiensi perpajakan, Vendor akan melampirkan Surat Keterangan PP 55/2022 pada setiap invoice. Mohon pemotongan PPh disesuaikan menjadi tarif 0,5% (bukan 2% PPh 23 standar).</w:t>
      </w:r>
    </w:p>
    <w:p>
      <w:r>
        <w:rPr>
          <w:sz w:val="21"/>
        </w:rPr>
        <w:t>Quotation ini berlaku hingga 15 Agustus 2026. Untuk konfirmasi atau negosiasi lebih lanjut, hubungi: Aris Winandi — PT Winandi Multi Solusi.</w:t>
      </w:r>
    </w:p>
    <w:p>
      <w:r>
        <w:t>────────────────────────────────────────────────────────────────────────────────</w:t>
      </w:r>
    </w:p>
    <w:p>
      <w:r>
        <w:rPr>
          <w:color w:val="94A3B8"/>
          <w:sz w:val="16"/>
        </w:rPr>
        <w:t>© 2026 PT Winandi Multi Solusi — Semarang, Central Java, Indonesia 50132</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