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4BB1A" w14:textId="77777777" w:rsidR="004E1555" w:rsidRPr="004E1555" w:rsidRDefault="004E1555" w:rsidP="004E1555">
      <w:pPr>
        <w:spacing w:before="100" w:beforeAutospacing="1" w:after="100" w:afterAutospacing="1" w:line="276" w:lineRule="auto"/>
        <w:jc w:val="both"/>
        <w:rPr>
          <w:rFonts w:ascii="Times New Roman" w:eastAsia="Times New Roman" w:hAnsi="Times New Roman" w:cs="Times New Roman"/>
          <w:kern w:val="0"/>
          <w:lang w:val="es-ES"/>
          <w14:ligatures w14:val="none"/>
        </w:rPr>
      </w:pPr>
      <w:r w:rsidRPr="004E1555">
        <w:rPr>
          <w:rFonts w:ascii="Times New Roman" w:eastAsia="Times New Roman" w:hAnsi="Times New Roman" w:cs="Times New Roman"/>
          <w:kern w:val="0"/>
          <w:lang w:val="es-ES"/>
          <w14:ligatures w14:val="none"/>
        </w:rPr>
        <w:t>Para la elaboración del Modelo Entidad-Relación, se han establecido los siguientes supuestos semánticos con el fin de resolver ambigüedades del enunciado y garantizar la integridad de la base de datos:</w:t>
      </w:r>
    </w:p>
    <w:p w14:paraId="149AB7A7" w14:textId="77777777" w:rsidR="004E1555" w:rsidRPr="004E1555" w:rsidRDefault="004E1555" w:rsidP="004E1555">
      <w:pPr>
        <w:spacing w:before="100" w:beforeAutospacing="1" w:after="100" w:afterAutospacing="1" w:line="276" w:lineRule="auto"/>
        <w:jc w:val="both"/>
        <w:outlineLvl w:val="3"/>
        <w:rPr>
          <w:rFonts w:ascii="Times New Roman" w:eastAsia="Times New Roman" w:hAnsi="Times New Roman" w:cs="Times New Roman"/>
          <w:b/>
          <w:bCs/>
          <w:kern w:val="0"/>
          <w:lang w:val="es-ES"/>
          <w14:ligatures w14:val="none"/>
        </w:rPr>
      </w:pPr>
      <w:r w:rsidRPr="004E1555">
        <w:rPr>
          <w:rFonts w:ascii="Times New Roman" w:eastAsia="Times New Roman" w:hAnsi="Times New Roman" w:cs="Times New Roman"/>
          <w:b/>
          <w:bCs/>
          <w:kern w:val="0"/>
          <w:lang w:val="es-ES"/>
          <w14:ligatures w14:val="none"/>
        </w:rPr>
        <w:t>A. Gestión de Personal y Departamentos</w:t>
      </w:r>
    </w:p>
    <w:p w14:paraId="0E844807" w14:textId="77777777" w:rsidR="004E1555" w:rsidRPr="004E1555" w:rsidRDefault="004E1555" w:rsidP="004E1555">
      <w:pPr>
        <w:numPr>
          <w:ilvl w:val="0"/>
          <w:numId w:val="1"/>
        </w:numPr>
        <w:spacing w:before="100" w:beforeAutospacing="1" w:after="100" w:afterAutospacing="1" w:line="276" w:lineRule="auto"/>
        <w:jc w:val="both"/>
        <w:rPr>
          <w:rFonts w:ascii="Times New Roman" w:eastAsia="Times New Roman" w:hAnsi="Times New Roman" w:cs="Times New Roman"/>
          <w:kern w:val="0"/>
          <w:lang w:val="es-ES"/>
          <w14:ligatures w14:val="none"/>
        </w:rPr>
      </w:pPr>
      <w:r w:rsidRPr="004E1555">
        <w:rPr>
          <w:rFonts w:ascii="Times New Roman" w:eastAsia="Times New Roman" w:hAnsi="Times New Roman" w:cs="Times New Roman"/>
          <w:b/>
          <w:bCs/>
          <w:kern w:val="0"/>
          <w:lang w:val="es-ES"/>
          <w14:ligatures w14:val="none"/>
        </w:rPr>
        <w:t>Dirección de Departamentos:</w:t>
      </w:r>
      <w:r w:rsidRPr="004E1555">
        <w:rPr>
          <w:rFonts w:ascii="Times New Roman" w:eastAsia="Times New Roman" w:hAnsi="Times New Roman" w:cs="Times New Roman"/>
          <w:kern w:val="0"/>
          <w:lang w:val="es-ES"/>
          <w14:ligatures w14:val="none"/>
        </w:rPr>
        <w:t xml:space="preserve"> Aunque un doctor puede dirigir varios departamentos, se asume que la dirección es un cargo administrativo independiente de su adscripción clínica principal. Por tanto, no se fuerza una restricción que obligue al doctor a estar adscrito al mismo departamento que dirige.</w:t>
      </w:r>
    </w:p>
    <w:p w14:paraId="03CBFD87" w14:textId="77777777" w:rsidR="004E1555" w:rsidRPr="004E1555" w:rsidRDefault="004E1555" w:rsidP="004E1555">
      <w:pPr>
        <w:numPr>
          <w:ilvl w:val="0"/>
          <w:numId w:val="1"/>
        </w:numPr>
        <w:spacing w:before="100" w:beforeAutospacing="1" w:after="100" w:afterAutospacing="1" w:line="276" w:lineRule="auto"/>
        <w:jc w:val="both"/>
        <w:rPr>
          <w:rFonts w:ascii="Times New Roman" w:eastAsia="Times New Roman" w:hAnsi="Times New Roman" w:cs="Times New Roman"/>
          <w:kern w:val="0"/>
          <w:lang w:val="es-ES"/>
          <w14:ligatures w14:val="none"/>
        </w:rPr>
      </w:pPr>
      <w:r w:rsidRPr="004E1555">
        <w:rPr>
          <w:rFonts w:ascii="Times New Roman" w:eastAsia="Times New Roman" w:hAnsi="Times New Roman" w:cs="Times New Roman"/>
          <w:b/>
          <w:bCs/>
          <w:kern w:val="0"/>
          <w:lang w:val="es-ES"/>
          <w14:ligatures w14:val="none"/>
        </w:rPr>
        <w:t>Histórico de Turnos de Enfermería:</w:t>
      </w:r>
      <w:r w:rsidRPr="004E1555">
        <w:rPr>
          <w:rFonts w:ascii="Times New Roman" w:eastAsia="Times New Roman" w:hAnsi="Times New Roman" w:cs="Times New Roman"/>
          <w:kern w:val="0"/>
          <w:lang w:val="es-ES"/>
          <w14:ligatures w14:val="none"/>
        </w:rPr>
        <w:t xml:space="preserve"> La relación entre </w:t>
      </w:r>
      <w:r w:rsidRPr="004E1555">
        <w:rPr>
          <w:rFonts w:ascii="Times New Roman" w:eastAsia="Times New Roman" w:hAnsi="Times New Roman" w:cs="Times New Roman"/>
          <w:i/>
          <w:iCs/>
          <w:kern w:val="0"/>
          <w:lang w:val="es-ES"/>
          <w14:ligatures w14:val="none"/>
        </w:rPr>
        <w:t>Personal de Enfermería</w:t>
      </w:r>
      <w:r w:rsidRPr="004E1555">
        <w:rPr>
          <w:rFonts w:ascii="Times New Roman" w:eastAsia="Times New Roman" w:hAnsi="Times New Roman" w:cs="Times New Roman"/>
          <w:kern w:val="0"/>
          <w:lang w:val="es-ES"/>
          <w14:ligatures w14:val="none"/>
        </w:rPr>
        <w:t xml:space="preserve"> y </w:t>
      </w:r>
      <w:r w:rsidRPr="004E1555">
        <w:rPr>
          <w:rFonts w:ascii="Times New Roman" w:eastAsia="Times New Roman" w:hAnsi="Times New Roman" w:cs="Times New Roman"/>
          <w:i/>
          <w:iCs/>
          <w:kern w:val="0"/>
          <w:lang w:val="es-ES"/>
          <w14:ligatures w14:val="none"/>
        </w:rPr>
        <w:t>Bloque</w:t>
      </w:r>
      <w:r w:rsidRPr="004E1555">
        <w:rPr>
          <w:rFonts w:ascii="Times New Roman" w:eastAsia="Times New Roman" w:hAnsi="Times New Roman" w:cs="Times New Roman"/>
          <w:kern w:val="0"/>
          <w:lang w:val="es-ES"/>
          <w14:ligatures w14:val="none"/>
        </w:rPr>
        <w:t xml:space="preserve"> (Entidad: Turno) se ha modelado con cardinalidad </w:t>
      </w:r>
      <w:r w:rsidRPr="004E1555">
        <w:rPr>
          <w:rFonts w:ascii="Times New Roman" w:eastAsia="Times New Roman" w:hAnsi="Times New Roman" w:cs="Times New Roman"/>
          <w:b/>
          <w:bCs/>
          <w:kern w:val="0"/>
          <w:lang w:val="es-ES"/>
          <w14:ligatures w14:val="none"/>
        </w:rPr>
        <w:t>(0,N)</w:t>
      </w:r>
      <w:r w:rsidRPr="004E1555">
        <w:rPr>
          <w:rFonts w:ascii="Times New Roman" w:eastAsia="Times New Roman" w:hAnsi="Times New Roman" w:cs="Times New Roman"/>
          <w:kern w:val="0"/>
          <w:lang w:val="es-ES"/>
          <w14:ligatures w14:val="none"/>
        </w:rPr>
        <w:t xml:space="preserve"> para permitir almacenar un </w:t>
      </w:r>
      <w:r w:rsidRPr="004E1555">
        <w:rPr>
          <w:rFonts w:ascii="Times New Roman" w:eastAsia="Times New Roman" w:hAnsi="Times New Roman" w:cs="Times New Roman"/>
          <w:b/>
          <w:bCs/>
          <w:kern w:val="0"/>
          <w:lang w:val="es-ES"/>
          <w14:ligatures w14:val="none"/>
        </w:rPr>
        <w:t>histórico</w:t>
      </w:r>
      <w:r w:rsidRPr="004E1555">
        <w:rPr>
          <w:rFonts w:ascii="Times New Roman" w:eastAsia="Times New Roman" w:hAnsi="Times New Roman" w:cs="Times New Roman"/>
          <w:kern w:val="0"/>
          <w:lang w:val="es-ES"/>
          <w14:ligatures w14:val="none"/>
        </w:rPr>
        <w:t xml:space="preserve"> de todos los turnos realizados por cada enfermero/a, no solo el turno actual.</w:t>
      </w:r>
    </w:p>
    <w:p w14:paraId="43C9D45F" w14:textId="77777777" w:rsidR="004E1555" w:rsidRPr="004E1555" w:rsidRDefault="004E1555" w:rsidP="004E1555">
      <w:pPr>
        <w:numPr>
          <w:ilvl w:val="0"/>
          <w:numId w:val="1"/>
        </w:numPr>
        <w:spacing w:before="100" w:beforeAutospacing="1" w:after="100" w:afterAutospacing="1" w:line="276" w:lineRule="auto"/>
        <w:jc w:val="both"/>
        <w:rPr>
          <w:rFonts w:ascii="Times New Roman" w:eastAsia="Times New Roman" w:hAnsi="Times New Roman" w:cs="Times New Roman"/>
          <w:kern w:val="0"/>
          <w:lang w:val="es-ES"/>
          <w14:ligatures w14:val="none"/>
        </w:rPr>
      </w:pPr>
      <w:r w:rsidRPr="004E1555">
        <w:rPr>
          <w:rFonts w:ascii="Times New Roman" w:eastAsia="Times New Roman" w:hAnsi="Times New Roman" w:cs="Times New Roman"/>
          <w:b/>
          <w:bCs/>
          <w:kern w:val="0"/>
          <w:lang w:val="es-ES"/>
          <w14:ligatures w14:val="none"/>
        </w:rPr>
        <w:t>TIGAs y Laboratorios:</w:t>
      </w:r>
      <w:r w:rsidRPr="004E1555">
        <w:rPr>
          <w:rFonts w:ascii="Times New Roman" w:eastAsia="Times New Roman" w:hAnsi="Times New Roman" w:cs="Times New Roman"/>
          <w:kern w:val="0"/>
          <w:lang w:val="es-ES"/>
          <w14:ligatures w14:val="none"/>
        </w:rPr>
        <w:t xml:space="preserve"> Se asume que el personal TIGA está asignado administrativa y funcionalmente a un único laboratorio específico (principalmente el de Oncología para el transporte), tal y como sugiere la asignación de turnos en el enunciado.</w:t>
      </w:r>
    </w:p>
    <w:p w14:paraId="30E5206C" w14:textId="77777777" w:rsidR="004E1555" w:rsidRPr="004E1555" w:rsidRDefault="004E1555" w:rsidP="004E1555">
      <w:pPr>
        <w:spacing w:before="100" w:beforeAutospacing="1" w:after="100" w:afterAutospacing="1" w:line="276" w:lineRule="auto"/>
        <w:jc w:val="both"/>
        <w:outlineLvl w:val="3"/>
        <w:rPr>
          <w:rFonts w:ascii="Times New Roman" w:eastAsia="Times New Roman" w:hAnsi="Times New Roman" w:cs="Times New Roman"/>
          <w:b/>
          <w:bCs/>
          <w:kern w:val="0"/>
          <w14:ligatures w14:val="none"/>
        </w:rPr>
      </w:pPr>
      <w:r w:rsidRPr="004E1555">
        <w:rPr>
          <w:rFonts w:ascii="Times New Roman" w:eastAsia="Times New Roman" w:hAnsi="Times New Roman" w:cs="Times New Roman"/>
          <w:b/>
          <w:bCs/>
          <w:kern w:val="0"/>
          <w14:ligatures w14:val="none"/>
        </w:rPr>
        <w:t>B. Infraestructura Hospitalaria</w:t>
      </w:r>
    </w:p>
    <w:p w14:paraId="611995E4" w14:textId="77777777" w:rsidR="004E1555" w:rsidRPr="004E1555" w:rsidRDefault="004E1555" w:rsidP="004E1555">
      <w:pPr>
        <w:numPr>
          <w:ilvl w:val="0"/>
          <w:numId w:val="2"/>
        </w:numPr>
        <w:spacing w:before="100" w:beforeAutospacing="1" w:after="100" w:afterAutospacing="1" w:line="276" w:lineRule="auto"/>
        <w:jc w:val="both"/>
        <w:rPr>
          <w:rFonts w:ascii="Times New Roman" w:eastAsia="Times New Roman" w:hAnsi="Times New Roman" w:cs="Times New Roman"/>
          <w:kern w:val="0"/>
          <w:lang w:val="es-ES"/>
          <w14:ligatures w14:val="none"/>
        </w:rPr>
      </w:pPr>
      <w:r w:rsidRPr="004E1555">
        <w:rPr>
          <w:rFonts w:ascii="Times New Roman" w:eastAsia="Times New Roman" w:hAnsi="Times New Roman" w:cs="Times New Roman"/>
          <w:b/>
          <w:bCs/>
          <w:kern w:val="0"/>
          <w:lang w:val="es-ES"/>
          <w14:ligatures w14:val="none"/>
        </w:rPr>
        <w:t>Habitaciones como Entidad Débil:</w:t>
      </w:r>
      <w:r w:rsidRPr="004E1555">
        <w:rPr>
          <w:rFonts w:ascii="Times New Roman" w:eastAsia="Times New Roman" w:hAnsi="Times New Roman" w:cs="Times New Roman"/>
          <w:kern w:val="0"/>
          <w:lang w:val="es-ES"/>
          <w14:ligatures w14:val="none"/>
        </w:rPr>
        <w:t xml:space="preserve"> Se asume que el número de habitación no es único en todo el hospital, sino que se repite por plantas o bloques. Por ello, la entidad </w:t>
      </w:r>
      <w:r w:rsidRPr="004E1555">
        <w:rPr>
          <w:rFonts w:ascii="Times New Roman" w:eastAsia="Times New Roman" w:hAnsi="Times New Roman" w:cs="Times New Roman"/>
          <w:i/>
          <w:iCs/>
          <w:kern w:val="0"/>
          <w:lang w:val="es-ES"/>
          <w14:ligatures w14:val="none"/>
        </w:rPr>
        <w:t>Habitación</w:t>
      </w:r>
      <w:r w:rsidRPr="004E1555">
        <w:rPr>
          <w:rFonts w:ascii="Times New Roman" w:eastAsia="Times New Roman" w:hAnsi="Times New Roman" w:cs="Times New Roman"/>
          <w:kern w:val="0"/>
          <w:lang w:val="es-ES"/>
          <w14:ligatures w14:val="none"/>
        </w:rPr>
        <w:t xml:space="preserve"> se modela como </w:t>
      </w:r>
      <w:r w:rsidRPr="004E1555">
        <w:rPr>
          <w:rFonts w:ascii="Times New Roman" w:eastAsia="Times New Roman" w:hAnsi="Times New Roman" w:cs="Times New Roman"/>
          <w:b/>
          <w:bCs/>
          <w:kern w:val="0"/>
          <w:lang w:val="es-ES"/>
          <w14:ligatures w14:val="none"/>
        </w:rPr>
        <w:t>débil</w:t>
      </w:r>
      <w:r w:rsidRPr="004E1555">
        <w:rPr>
          <w:rFonts w:ascii="Times New Roman" w:eastAsia="Times New Roman" w:hAnsi="Times New Roman" w:cs="Times New Roman"/>
          <w:kern w:val="0"/>
          <w:lang w:val="es-ES"/>
          <w14:ligatures w14:val="none"/>
        </w:rPr>
        <w:t xml:space="preserve"> dependiente de la entidad </w:t>
      </w:r>
      <w:r w:rsidRPr="004E1555">
        <w:rPr>
          <w:rFonts w:ascii="Times New Roman" w:eastAsia="Times New Roman" w:hAnsi="Times New Roman" w:cs="Times New Roman"/>
          <w:i/>
          <w:iCs/>
          <w:kern w:val="0"/>
          <w:lang w:val="es-ES"/>
          <w14:ligatures w14:val="none"/>
        </w:rPr>
        <w:t>Bloque</w:t>
      </w:r>
      <w:r w:rsidRPr="004E1555">
        <w:rPr>
          <w:rFonts w:ascii="Times New Roman" w:eastAsia="Times New Roman" w:hAnsi="Times New Roman" w:cs="Times New Roman"/>
          <w:kern w:val="0"/>
          <w:lang w:val="es-ES"/>
          <w14:ligatures w14:val="none"/>
        </w:rPr>
        <w:t xml:space="preserve"> (o Planta), necesitando el identificador del bloque para ser única.</w:t>
      </w:r>
    </w:p>
    <w:p w14:paraId="2D9830AF" w14:textId="77777777" w:rsidR="004E1555" w:rsidRPr="004E1555" w:rsidRDefault="004E1555" w:rsidP="004E1555">
      <w:pPr>
        <w:numPr>
          <w:ilvl w:val="0"/>
          <w:numId w:val="2"/>
        </w:numPr>
        <w:spacing w:before="100" w:beforeAutospacing="1" w:after="100" w:afterAutospacing="1" w:line="276" w:lineRule="auto"/>
        <w:jc w:val="both"/>
        <w:rPr>
          <w:rFonts w:ascii="Times New Roman" w:eastAsia="Times New Roman" w:hAnsi="Times New Roman" w:cs="Times New Roman"/>
          <w:kern w:val="0"/>
          <w:lang w:val="es-ES"/>
          <w14:ligatures w14:val="none"/>
        </w:rPr>
      </w:pPr>
      <w:r w:rsidRPr="004E1555">
        <w:rPr>
          <w:rFonts w:ascii="Times New Roman" w:eastAsia="Times New Roman" w:hAnsi="Times New Roman" w:cs="Times New Roman"/>
          <w:b/>
          <w:bCs/>
          <w:kern w:val="0"/>
          <w:lang w:val="es-ES"/>
          <w14:ligatures w14:val="none"/>
        </w:rPr>
        <w:t>Ubicación de Laboratorios:</w:t>
      </w:r>
      <w:r w:rsidRPr="004E1555">
        <w:rPr>
          <w:rFonts w:ascii="Times New Roman" w:eastAsia="Times New Roman" w:hAnsi="Times New Roman" w:cs="Times New Roman"/>
          <w:kern w:val="0"/>
          <w:lang w:val="es-ES"/>
          <w14:ligatures w14:val="none"/>
        </w:rPr>
        <w:t xml:space="preserve"> Se asume que cada laboratorio físico ocupa un espacio asignado a un único bloque administrativo, estableciendo una relación (1,1) desde el laboratorio hacia el bloque.</w:t>
      </w:r>
    </w:p>
    <w:p w14:paraId="42906FC8" w14:textId="77777777" w:rsidR="004E1555" w:rsidRPr="004E1555" w:rsidRDefault="004E1555" w:rsidP="004E1555">
      <w:pPr>
        <w:spacing w:before="100" w:beforeAutospacing="1" w:after="100" w:afterAutospacing="1" w:line="276" w:lineRule="auto"/>
        <w:jc w:val="both"/>
        <w:outlineLvl w:val="3"/>
        <w:rPr>
          <w:rFonts w:ascii="Times New Roman" w:eastAsia="Times New Roman" w:hAnsi="Times New Roman" w:cs="Times New Roman"/>
          <w:b/>
          <w:bCs/>
          <w:kern w:val="0"/>
          <w:lang w:val="es-ES"/>
          <w14:ligatures w14:val="none"/>
        </w:rPr>
      </w:pPr>
      <w:r w:rsidRPr="004E1555">
        <w:rPr>
          <w:rFonts w:ascii="Times New Roman" w:eastAsia="Times New Roman" w:hAnsi="Times New Roman" w:cs="Times New Roman"/>
          <w:b/>
          <w:bCs/>
          <w:kern w:val="0"/>
          <w:lang w:val="es-ES"/>
          <w14:ligatures w14:val="none"/>
        </w:rPr>
        <w:t>C. Atención al Paciente y Consultas</w:t>
      </w:r>
    </w:p>
    <w:p w14:paraId="3A1D2D10" w14:textId="77777777" w:rsidR="004E1555" w:rsidRPr="004E1555" w:rsidRDefault="004E1555" w:rsidP="004E1555">
      <w:pPr>
        <w:numPr>
          <w:ilvl w:val="0"/>
          <w:numId w:val="3"/>
        </w:numPr>
        <w:spacing w:before="100" w:beforeAutospacing="1" w:after="100" w:afterAutospacing="1" w:line="276" w:lineRule="auto"/>
        <w:jc w:val="both"/>
        <w:rPr>
          <w:rFonts w:ascii="Times New Roman" w:eastAsia="Times New Roman" w:hAnsi="Times New Roman" w:cs="Times New Roman"/>
          <w:kern w:val="0"/>
          <w:lang w:val="es-ES"/>
          <w14:ligatures w14:val="none"/>
        </w:rPr>
      </w:pPr>
      <w:r w:rsidRPr="004E1555">
        <w:rPr>
          <w:rFonts w:ascii="Times New Roman" w:eastAsia="Times New Roman" w:hAnsi="Times New Roman" w:cs="Times New Roman"/>
          <w:b/>
          <w:bCs/>
          <w:kern w:val="0"/>
          <w:lang w:val="es-ES"/>
          <w14:ligatures w14:val="none"/>
        </w:rPr>
        <w:t>Participación en Consultas:</w:t>
      </w:r>
      <w:r w:rsidRPr="004E1555">
        <w:rPr>
          <w:rFonts w:ascii="Times New Roman" w:eastAsia="Times New Roman" w:hAnsi="Times New Roman" w:cs="Times New Roman"/>
          <w:kern w:val="0"/>
          <w:lang w:val="es-ES"/>
          <w14:ligatures w14:val="none"/>
        </w:rPr>
        <w:t xml:space="preserve"> Aunque el enunciado indica que en cada consulta "participa" un enfermero, se modela la relación con cardinalidad máxima </w:t>
      </w:r>
      <w:r w:rsidRPr="004E1555">
        <w:rPr>
          <w:rFonts w:ascii="Times New Roman" w:eastAsia="Times New Roman" w:hAnsi="Times New Roman" w:cs="Times New Roman"/>
          <w:b/>
          <w:bCs/>
          <w:kern w:val="0"/>
          <w:lang w:val="es-ES"/>
          <w14:ligatures w14:val="none"/>
        </w:rPr>
        <w:t>N</w:t>
      </w:r>
      <w:r w:rsidRPr="004E1555">
        <w:rPr>
          <w:rFonts w:ascii="Times New Roman" w:eastAsia="Times New Roman" w:hAnsi="Times New Roman" w:cs="Times New Roman"/>
          <w:kern w:val="0"/>
          <w:lang w:val="es-ES"/>
          <w14:ligatures w14:val="none"/>
        </w:rPr>
        <w:t xml:space="preserve"> para el enfermero (asiste a muchas consultas) y </w:t>
      </w:r>
      <w:r w:rsidRPr="004E1555">
        <w:rPr>
          <w:rFonts w:ascii="Times New Roman" w:eastAsia="Times New Roman" w:hAnsi="Times New Roman" w:cs="Times New Roman"/>
          <w:b/>
          <w:bCs/>
          <w:kern w:val="0"/>
          <w:lang w:val="es-ES"/>
          <w14:ligatures w14:val="none"/>
        </w:rPr>
        <w:t>1</w:t>
      </w:r>
      <w:r w:rsidRPr="004E1555">
        <w:rPr>
          <w:rFonts w:ascii="Times New Roman" w:eastAsia="Times New Roman" w:hAnsi="Times New Roman" w:cs="Times New Roman"/>
          <w:kern w:val="0"/>
          <w:lang w:val="es-ES"/>
          <w14:ligatures w14:val="none"/>
        </w:rPr>
        <w:t xml:space="preserve"> para la consulta (evento único e irrepetible). Se asume que el registro de la consulta es el evento central que vincula al paciente, doctor y enfermero.</w:t>
      </w:r>
    </w:p>
    <w:p w14:paraId="0C569DC0" w14:textId="77777777" w:rsidR="004E1555" w:rsidRPr="004E1555" w:rsidRDefault="004E1555" w:rsidP="004E1555">
      <w:pPr>
        <w:numPr>
          <w:ilvl w:val="0"/>
          <w:numId w:val="3"/>
        </w:numPr>
        <w:spacing w:before="100" w:beforeAutospacing="1" w:after="100" w:afterAutospacing="1" w:line="276" w:lineRule="auto"/>
        <w:jc w:val="both"/>
        <w:rPr>
          <w:rFonts w:ascii="Times New Roman" w:eastAsia="Times New Roman" w:hAnsi="Times New Roman" w:cs="Times New Roman"/>
          <w:kern w:val="0"/>
          <w:lang w:val="es-ES"/>
          <w14:ligatures w14:val="none"/>
        </w:rPr>
      </w:pPr>
      <w:r w:rsidRPr="004E1555">
        <w:rPr>
          <w:rFonts w:ascii="Times New Roman" w:eastAsia="Times New Roman" w:hAnsi="Times New Roman" w:cs="Times New Roman"/>
          <w:b/>
          <w:bCs/>
          <w:kern w:val="0"/>
          <w:lang w:val="es-ES"/>
          <w14:ligatures w14:val="none"/>
        </w:rPr>
        <w:t>Unicidad del Médico de Cabecera:</w:t>
      </w:r>
      <w:r w:rsidRPr="004E1555">
        <w:rPr>
          <w:rFonts w:ascii="Times New Roman" w:eastAsia="Times New Roman" w:hAnsi="Times New Roman" w:cs="Times New Roman"/>
          <w:kern w:val="0"/>
          <w:lang w:val="es-ES"/>
          <w14:ligatures w14:val="none"/>
        </w:rPr>
        <w:t xml:space="preserve"> Se asume que, en un momento dado, un paciente tiene asignado un único médico de cabecera activo, justificando la cardinalidad (1,1) del lado del paciente en la relación de asignación.</w:t>
      </w:r>
    </w:p>
    <w:p w14:paraId="71EE878B" w14:textId="77777777" w:rsidR="004E1555" w:rsidRPr="004E1555" w:rsidRDefault="004E1555" w:rsidP="004E1555">
      <w:pPr>
        <w:spacing w:before="100" w:beforeAutospacing="1" w:after="100" w:afterAutospacing="1" w:line="276" w:lineRule="auto"/>
        <w:jc w:val="both"/>
        <w:outlineLvl w:val="3"/>
        <w:rPr>
          <w:rFonts w:ascii="Times New Roman" w:eastAsia="Times New Roman" w:hAnsi="Times New Roman" w:cs="Times New Roman"/>
          <w:b/>
          <w:bCs/>
          <w:kern w:val="0"/>
          <w14:ligatures w14:val="none"/>
        </w:rPr>
      </w:pPr>
      <w:r w:rsidRPr="004E1555">
        <w:rPr>
          <w:rFonts w:ascii="Times New Roman" w:eastAsia="Times New Roman" w:hAnsi="Times New Roman" w:cs="Times New Roman"/>
          <w:b/>
          <w:bCs/>
          <w:kern w:val="0"/>
          <w14:ligatures w14:val="none"/>
        </w:rPr>
        <w:t>D. Procedimientos y Oncología</w:t>
      </w:r>
    </w:p>
    <w:p w14:paraId="6ECFBF54" w14:textId="3E9DAF8F" w:rsidR="004E1555" w:rsidRPr="004E1555" w:rsidRDefault="004E1555" w:rsidP="004E1555">
      <w:pPr>
        <w:numPr>
          <w:ilvl w:val="0"/>
          <w:numId w:val="4"/>
        </w:numPr>
        <w:spacing w:before="100" w:beforeAutospacing="1" w:after="100" w:afterAutospacing="1" w:line="276" w:lineRule="auto"/>
        <w:jc w:val="both"/>
        <w:rPr>
          <w:rFonts w:ascii="Times New Roman" w:eastAsia="Times New Roman" w:hAnsi="Times New Roman" w:cs="Times New Roman"/>
          <w:kern w:val="0"/>
          <w:lang w:val="es-ES"/>
          <w14:ligatures w14:val="none"/>
        </w:rPr>
      </w:pPr>
      <w:r w:rsidRPr="004E1555">
        <w:rPr>
          <w:rFonts w:ascii="Times New Roman" w:eastAsia="Times New Roman" w:hAnsi="Times New Roman" w:cs="Times New Roman"/>
          <w:b/>
          <w:bCs/>
          <w:kern w:val="0"/>
          <w:lang w:val="es-ES"/>
          <w14:ligatures w14:val="none"/>
        </w:rPr>
        <w:t>Certificaciones Médicas:</w:t>
      </w:r>
      <w:r w:rsidRPr="004E1555">
        <w:rPr>
          <w:rFonts w:ascii="Times New Roman" w:eastAsia="Times New Roman" w:hAnsi="Times New Roman" w:cs="Times New Roman"/>
          <w:kern w:val="0"/>
          <w:lang w:val="es-ES"/>
          <w14:ligatures w14:val="none"/>
        </w:rPr>
        <w:t xml:space="preserve"> Dado que el enunciado especifica que "existen determinados procedimientos agresivos", se asume que la mayoría de procedimientos estándares no </w:t>
      </w:r>
      <w:r w:rsidRPr="004E1555">
        <w:rPr>
          <w:rFonts w:ascii="Times New Roman" w:eastAsia="Times New Roman" w:hAnsi="Times New Roman" w:cs="Times New Roman"/>
          <w:kern w:val="0"/>
          <w:lang w:val="es-ES"/>
          <w14:ligatures w14:val="none"/>
        </w:rPr>
        <w:lastRenderedPageBreak/>
        <w:t xml:space="preserve">requieren certificación especial. Por ello, la relación </w:t>
      </w:r>
      <w:r w:rsidRPr="004E1555">
        <w:rPr>
          <w:rFonts w:ascii="Times New Roman" w:eastAsia="Times New Roman" w:hAnsi="Times New Roman" w:cs="Times New Roman"/>
          <w:i/>
          <w:iCs/>
          <w:kern w:val="0"/>
          <w:lang w:val="es-ES"/>
          <w14:ligatures w14:val="none"/>
        </w:rPr>
        <w:t>Certificado</w:t>
      </w:r>
      <w:r w:rsidRPr="004E1555">
        <w:rPr>
          <w:rFonts w:ascii="Times New Roman" w:eastAsia="Times New Roman" w:hAnsi="Times New Roman" w:cs="Times New Roman"/>
          <w:kern w:val="0"/>
          <w:lang w:val="es-ES"/>
          <w14:ligatures w14:val="none"/>
        </w:rPr>
        <w:t xml:space="preserve"> tiene cardinalidad mínima </w:t>
      </w:r>
      <w:r w:rsidRPr="004E1555">
        <w:rPr>
          <w:rFonts w:ascii="Times New Roman" w:eastAsia="Times New Roman" w:hAnsi="Times New Roman" w:cs="Times New Roman"/>
          <w:b/>
          <w:bCs/>
          <w:kern w:val="0"/>
          <w:lang w:val="es-ES"/>
          <w14:ligatures w14:val="none"/>
        </w:rPr>
        <w:t>0</w:t>
      </w:r>
      <w:r w:rsidRPr="004E1555">
        <w:rPr>
          <w:rFonts w:ascii="Times New Roman" w:eastAsia="Times New Roman" w:hAnsi="Times New Roman" w:cs="Times New Roman"/>
          <w:kern w:val="0"/>
          <w:lang w:val="es-ES"/>
          <w14:ligatures w14:val="none"/>
        </w:rPr>
        <w:t xml:space="preserve"> tanto para doctores (generalistas sin certificados extra) como para tipos de procedimiento (básicos).</w:t>
      </w:r>
    </w:p>
    <w:p w14:paraId="410AFCBA" w14:textId="77777777" w:rsidR="004E1555" w:rsidRPr="004E1555" w:rsidRDefault="004E1555" w:rsidP="004E1555">
      <w:pPr>
        <w:numPr>
          <w:ilvl w:val="0"/>
          <w:numId w:val="4"/>
        </w:numPr>
        <w:spacing w:before="100" w:beforeAutospacing="1" w:after="100" w:afterAutospacing="1" w:line="276" w:lineRule="auto"/>
        <w:jc w:val="both"/>
        <w:rPr>
          <w:rFonts w:ascii="Times New Roman" w:eastAsia="Times New Roman" w:hAnsi="Times New Roman" w:cs="Times New Roman"/>
          <w:kern w:val="0"/>
          <w:lang w:val="es-ES"/>
          <w14:ligatures w14:val="none"/>
        </w:rPr>
      </w:pPr>
      <w:r w:rsidRPr="004E1555">
        <w:rPr>
          <w:rFonts w:ascii="Times New Roman" w:eastAsia="Times New Roman" w:hAnsi="Times New Roman" w:cs="Times New Roman"/>
          <w:b/>
          <w:bCs/>
          <w:kern w:val="0"/>
          <w:lang w:val="es-ES"/>
          <w14:ligatures w14:val="none"/>
        </w:rPr>
        <w:t>Ciclos de Quimioterapia (Instancia Única):</w:t>
      </w:r>
      <w:r w:rsidRPr="004E1555">
        <w:rPr>
          <w:rFonts w:ascii="Times New Roman" w:eastAsia="Times New Roman" w:hAnsi="Times New Roman" w:cs="Times New Roman"/>
          <w:kern w:val="0"/>
          <w:lang w:val="es-ES"/>
          <w14:ligatures w14:val="none"/>
        </w:rPr>
        <w:t xml:space="preserve"> Se asume que la entidad </w:t>
      </w:r>
      <w:r w:rsidRPr="004E1555">
        <w:rPr>
          <w:rFonts w:ascii="Times New Roman" w:eastAsia="Times New Roman" w:hAnsi="Times New Roman" w:cs="Times New Roman"/>
          <w:i/>
          <w:iCs/>
          <w:kern w:val="0"/>
          <w:lang w:val="es-ES"/>
          <w14:ligatures w14:val="none"/>
        </w:rPr>
        <w:t>Ciclo_Quimio</w:t>
      </w:r>
      <w:r w:rsidRPr="004E1555">
        <w:rPr>
          <w:rFonts w:ascii="Times New Roman" w:eastAsia="Times New Roman" w:hAnsi="Times New Roman" w:cs="Times New Roman"/>
          <w:kern w:val="0"/>
          <w:lang w:val="es-ES"/>
          <w14:ligatures w14:val="none"/>
        </w:rPr>
        <w:t xml:space="preserve"> representa una preparación física y tangible (la bolsa/medicación preparada en el carro) destinada a un solo uso. Por tanto, cada ciclo se relaciona con </w:t>
      </w:r>
      <w:r w:rsidRPr="004E1555">
        <w:rPr>
          <w:rFonts w:ascii="Times New Roman" w:eastAsia="Times New Roman" w:hAnsi="Times New Roman" w:cs="Times New Roman"/>
          <w:b/>
          <w:bCs/>
          <w:kern w:val="0"/>
          <w:lang w:val="es-ES"/>
          <w14:ligatures w14:val="none"/>
        </w:rPr>
        <w:t>un único paciente</w:t>
      </w:r>
      <w:r w:rsidRPr="004E1555">
        <w:rPr>
          <w:rFonts w:ascii="Times New Roman" w:eastAsia="Times New Roman" w:hAnsi="Times New Roman" w:cs="Times New Roman"/>
          <w:kern w:val="0"/>
          <w:lang w:val="es-ES"/>
          <w14:ligatures w14:val="none"/>
        </w:rPr>
        <w:t xml:space="preserve"> y una única sesión de tratamiento (cardinalidad 1,1).</w:t>
      </w:r>
    </w:p>
    <w:p w14:paraId="5D8E3500" w14:textId="77777777" w:rsidR="004E1555" w:rsidRPr="004E1555" w:rsidRDefault="004E1555" w:rsidP="004E1555">
      <w:pPr>
        <w:numPr>
          <w:ilvl w:val="0"/>
          <w:numId w:val="4"/>
        </w:numPr>
        <w:spacing w:before="100" w:beforeAutospacing="1" w:after="100" w:afterAutospacing="1" w:line="276" w:lineRule="auto"/>
        <w:jc w:val="both"/>
        <w:rPr>
          <w:rFonts w:ascii="Times New Roman" w:eastAsia="Times New Roman" w:hAnsi="Times New Roman" w:cs="Times New Roman"/>
          <w:kern w:val="0"/>
          <w:lang w:val="es-ES"/>
          <w14:ligatures w14:val="none"/>
        </w:rPr>
      </w:pPr>
      <w:r w:rsidRPr="004E1555">
        <w:rPr>
          <w:rFonts w:ascii="Times New Roman" w:eastAsia="Times New Roman" w:hAnsi="Times New Roman" w:cs="Times New Roman"/>
          <w:b/>
          <w:bCs/>
          <w:kern w:val="0"/>
          <w:lang w:val="es-ES"/>
          <w14:ligatures w14:val="none"/>
        </w:rPr>
        <w:t>Ejecución de Procedimientos:</w:t>
      </w:r>
      <w:r w:rsidRPr="004E1555">
        <w:rPr>
          <w:rFonts w:ascii="Times New Roman" w:eastAsia="Times New Roman" w:hAnsi="Times New Roman" w:cs="Times New Roman"/>
          <w:kern w:val="0"/>
          <w:lang w:val="es-ES"/>
          <w14:ligatures w14:val="none"/>
        </w:rPr>
        <w:t xml:space="preserve"> Se asume que un procedimiento médico específico (instancia realizada en una fecha concreta) es ejecutado por un único doctor responsable principal, aunque pueda tener asistentes, para mantener la trazabilidad de la responsabilidad médica.</w:t>
      </w:r>
    </w:p>
    <w:p w14:paraId="496E7D1D" w14:textId="637AA690" w:rsidR="003E4FD1" w:rsidRPr="004E1555" w:rsidRDefault="003E4FD1" w:rsidP="004E1555">
      <w:pPr>
        <w:spacing w:line="276" w:lineRule="auto"/>
        <w:jc w:val="both"/>
        <w:rPr>
          <w:lang w:val="es-ES"/>
        </w:rPr>
      </w:pPr>
    </w:p>
    <w:sectPr w:rsidR="003E4FD1" w:rsidRPr="004E15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05030"/>
    <w:multiLevelType w:val="multilevel"/>
    <w:tmpl w:val="19D6A55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D62876"/>
    <w:multiLevelType w:val="multilevel"/>
    <w:tmpl w:val="F7DC4DC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5B19DB"/>
    <w:multiLevelType w:val="multilevel"/>
    <w:tmpl w:val="349CA8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840C27"/>
    <w:multiLevelType w:val="multilevel"/>
    <w:tmpl w:val="BBB49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6085479">
    <w:abstractNumId w:val="3"/>
  </w:num>
  <w:num w:numId="2" w16cid:durableId="455829444">
    <w:abstractNumId w:val="2"/>
  </w:num>
  <w:num w:numId="3" w16cid:durableId="1030881927">
    <w:abstractNumId w:val="0"/>
  </w:num>
  <w:num w:numId="4" w16cid:durableId="4490829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555"/>
    <w:rsid w:val="00276710"/>
    <w:rsid w:val="003E4FD1"/>
    <w:rsid w:val="004E1555"/>
    <w:rsid w:val="00DC73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57137"/>
  <w15:chartTrackingRefBased/>
  <w15:docId w15:val="{5527CE0A-C63D-47FD-9ADD-E81AD1A47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5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15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15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15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15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15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5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5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5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5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15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15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5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5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5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5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5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555"/>
    <w:rPr>
      <w:rFonts w:eastAsiaTheme="majorEastAsia" w:cstheme="majorBidi"/>
      <w:color w:val="272727" w:themeColor="text1" w:themeTint="D8"/>
    </w:rPr>
  </w:style>
  <w:style w:type="paragraph" w:styleId="Title">
    <w:name w:val="Title"/>
    <w:basedOn w:val="Normal"/>
    <w:next w:val="Normal"/>
    <w:link w:val="TitleChar"/>
    <w:uiPriority w:val="10"/>
    <w:qFormat/>
    <w:rsid w:val="004E15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5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5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5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555"/>
    <w:pPr>
      <w:spacing w:before="160"/>
      <w:jc w:val="center"/>
    </w:pPr>
    <w:rPr>
      <w:i/>
      <w:iCs/>
      <w:color w:val="404040" w:themeColor="text1" w:themeTint="BF"/>
    </w:rPr>
  </w:style>
  <w:style w:type="character" w:customStyle="1" w:styleId="QuoteChar">
    <w:name w:val="Quote Char"/>
    <w:basedOn w:val="DefaultParagraphFont"/>
    <w:link w:val="Quote"/>
    <w:uiPriority w:val="29"/>
    <w:rsid w:val="004E1555"/>
    <w:rPr>
      <w:i/>
      <w:iCs/>
      <w:color w:val="404040" w:themeColor="text1" w:themeTint="BF"/>
    </w:rPr>
  </w:style>
  <w:style w:type="paragraph" w:styleId="ListParagraph">
    <w:name w:val="List Paragraph"/>
    <w:basedOn w:val="Normal"/>
    <w:uiPriority w:val="34"/>
    <w:qFormat/>
    <w:rsid w:val="004E1555"/>
    <w:pPr>
      <w:ind w:left="720"/>
      <w:contextualSpacing/>
    </w:pPr>
  </w:style>
  <w:style w:type="character" w:styleId="IntenseEmphasis">
    <w:name w:val="Intense Emphasis"/>
    <w:basedOn w:val="DefaultParagraphFont"/>
    <w:uiPriority w:val="21"/>
    <w:qFormat/>
    <w:rsid w:val="004E1555"/>
    <w:rPr>
      <w:i/>
      <w:iCs/>
      <w:color w:val="0F4761" w:themeColor="accent1" w:themeShade="BF"/>
    </w:rPr>
  </w:style>
  <w:style w:type="paragraph" w:styleId="IntenseQuote">
    <w:name w:val="Intense Quote"/>
    <w:basedOn w:val="Normal"/>
    <w:next w:val="Normal"/>
    <w:link w:val="IntenseQuoteChar"/>
    <w:uiPriority w:val="30"/>
    <w:qFormat/>
    <w:rsid w:val="004E15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1555"/>
    <w:rPr>
      <w:i/>
      <w:iCs/>
      <w:color w:val="0F4761" w:themeColor="accent1" w:themeShade="BF"/>
    </w:rPr>
  </w:style>
  <w:style w:type="character" w:styleId="IntenseReference">
    <w:name w:val="Intense Reference"/>
    <w:basedOn w:val="DefaultParagraphFont"/>
    <w:uiPriority w:val="32"/>
    <w:qFormat/>
    <w:rsid w:val="004E15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468</Words>
  <Characters>2672</Characters>
  <Application>Microsoft Office Word</Application>
  <DocSecurity>0</DocSecurity>
  <Lines>22</Lines>
  <Paragraphs>6</Paragraphs>
  <ScaleCrop>false</ScaleCrop>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NINAD NAUTIYAL BHATT</dc:creator>
  <cp:keywords/>
  <dc:description/>
  <cp:lastModifiedBy>NINAD NAUTIYAL BHATT</cp:lastModifiedBy>
  <cp:revision>2</cp:revision>
  <cp:lastPrinted>2025-12-15T13:58:00Z</cp:lastPrinted>
  <dcterms:created xsi:type="dcterms:W3CDTF">2025-12-15T13:54:00Z</dcterms:created>
  <dcterms:modified xsi:type="dcterms:W3CDTF">2025-12-15T14:06:00Z</dcterms:modified>
</cp:coreProperties>
</file>