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E43A1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故障注入平台实践评分系统外部依据整理</w:t>
      </w:r>
    </w:p>
    <w:p w14:paraId="2AACB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本文用于说明当前故障注入平台实践评分系统的外部依据。结论先行：外部资料能够支撑“结果正确性 + 过程证据链 + 排故路径 + 效率 + 安全合规”的评分框架；具体分值权重（如当前实现中的 30/20/30/5/15）属于本项目结合教学目标、系统能力和任务粒度制定的实现配置，不应表述为外部标准原样规定。</w:t>
      </w:r>
    </w:p>
    <w:p w14:paraId="2A6E8B7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alibri" w:hAnsi="Calibri" w:eastAsia="微软雅黑"/>
        </w:rPr>
        <w:t>一、当前评分系统对应的评价维度</w:t>
      </w:r>
    </w:p>
    <w:p w14:paraId="3403C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当前平台提交练习时返回 scoreBreakdown，主要包括：</w:t>
      </w:r>
    </w:p>
    <w:p w14:paraId="05FC3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sz w:val="20"/>
          <w:lang w:val="en-US" w:eastAsia="zh-CN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faultLocalization</w:t>
      </w:r>
      <w:r>
        <w:rPr>
          <w:rFonts w:hint="eastAsia" w:ascii="Times New Roman" w:hAnsi="Times New Roman" w:eastAsia="宋体" w:cs="宋体"/>
          <w:color w:val="333333"/>
          <w:sz w:val="20"/>
          <w:lang w:eastAsia="zh-CN"/>
        </w:rPr>
        <w:t>：</w:t>
      </w:r>
      <w:r>
        <w:rPr>
          <w:rFonts w:hint="eastAsia" w:ascii="Times New Roman" w:hAnsi="Times New Roman" w:eastAsia="宋体" w:cs="宋体"/>
          <w:sz w:val="20"/>
        </w:rPr>
        <w:t>最终故障判断是否命中目标故障</w:t>
      </w:r>
      <w:r>
        <w:rPr>
          <w:rFonts w:hint="eastAsia" w:ascii="Times New Roman" w:hAnsi="Times New Roman" w:eastAsia="宋体" w:cs="宋体"/>
          <w:sz w:val="20"/>
          <w:lang w:eastAsia="zh-CN"/>
        </w:rPr>
        <w:t>，</w:t>
      </w:r>
      <w:r>
        <w:rPr>
          <w:rFonts w:hint="eastAsia" w:ascii="Times New Roman" w:hAnsi="Times New Roman" w:eastAsia="宋体" w:cs="宋体"/>
          <w:sz w:val="20"/>
          <w:lang w:val="en-US" w:eastAsia="zh-CN"/>
        </w:rPr>
        <w:t>30分；</w:t>
      </w:r>
    </w:p>
    <w:p w14:paraId="32B0DF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/>
        <w:jc w:val="both"/>
        <w:textAlignment w:val="auto"/>
        <w:rPr>
          <w:rFonts w:hint="eastAsia" w:ascii="Times New Roman" w:hAnsi="Times New Roman" w:eastAsia="宋体" w:cs="宋体"/>
          <w:sz w:val="20"/>
          <w:lang w:val="en-US" w:eastAsia="zh-CN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diagnosticTreePath</w:t>
      </w:r>
      <w:r>
        <w:rPr>
          <w:rFonts w:hint="eastAsia" w:ascii="Times New Roman" w:hAnsi="Times New Roman" w:eastAsia="宋体" w:cs="宋体"/>
          <w:color w:val="333333"/>
          <w:sz w:val="20"/>
          <w:lang w:eastAsia="zh-CN"/>
        </w:rPr>
        <w:t>：</w:t>
      </w:r>
      <w:r>
        <w:rPr>
          <w:rFonts w:hint="eastAsia" w:ascii="Times New Roman" w:hAnsi="Times New Roman" w:eastAsia="宋体" w:cs="宋体"/>
          <w:sz w:val="20"/>
        </w:rPr>
        <w:t>关键节点覆盖、路径效率</w:t>
      </w:r>
      <w:r>
        <w:rPr>
          <w:rFonts w:hint="eastAsia" w:ascii="Times New Roman" w:hAnsi="Times New Roman" w:eastAsia="宋体" w:cs="宋体"/>
          <w:sz w:val="20"/>
          <w:lang w:eastAsia="zh-CN"/>
        </w:rPr>
        <w:t>，</w:t>
      </w:r>
      <w:r>
        <w:rPr>
          <w:rFonts w:hint="eastAsia" w:ascii="Times New Roman" w:hAnsi="Times New Roman" w:eastAsia="宋体" w:cs="宋体"/>
          <w:sz w:val="20"/>
          <w:lang w:val="en-US" w:eastAsia="zh-CN"/>
        </w:rPr>
        <w:t>20分；</w:t>
      </w:r>
    </w:p>
    <w:p w14:paraId="6E858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/>
        <w:jc w:val="both"/>
        <w:textAlignment w:val="auto"/>
        <w:rPr>
          <w:rFonts w:hint="eastAsia" w:ascii="Times New Roman" w:hAnsi="Times New Roman" w:eastAsia="宋体" w:cs="宋体"/>
          <w:sz w:val="20"/>
          <w:lang w:eastAsia="zh-CN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informationGain</w:t>
      </w:r>
      <w:r>
        <w:rPr>
          <w:rFonts w:hint="eastAsia" w:ascii="Times New Roman" w:hAnsi="Times New Roman" w:eastAsia="宋体" w:cs="宋体"/>
          <w:color w:val="333333"/>
          <w:sz w:val="20"/>
          <w:lang w:eastAsia="zh-CN"/>
        </w:rPr>
        <w:t>：</w:t>
      </w:r>
      <w:r>
        <w:rPr>
          <w:rFonts w:hint="eastAsia" w:ascii="Times New Roman" w:hAnsi="Times New Roman" w:eastAsia="宋体" w:cs="宋体"/>
          <w:sz w:val="20"/>
        </w:rPr>
        <w:t>单步决策是否匹配动态推荐动作，反映证据采集和决策合理性</w:t>
      </w:r>
      <w:r>
        <w:rPr>
          <w:rFonts w:hint="eastAsia" w:ascii="Times New Roman" w:hAnsi="Times New Roman" w:eastAsia="宋体" w:cs="宋体"/>
          <w:sz w:val="20"/>
          <w:lang w:eastAsia="zh-CN"/>
        </w:rPr>
        <w:t>，</w:t>
      </w:r>
      <w:r>
        <w:rPr>
          <w:rFonts w:hint="eastAsia" w:ascii="Times New Roman" w:hAnsi="Times New Roman" w:eastAsia="宋体" w:cs="宋体"/>
          <w:sz w:val="20"/>
        </w:rPr>
        <w:t>30</w:t>
      </w:r>
      <w:r>
        <w:rPr>
          <w:rFonts w:hint="eastAsia" w:ascii="Times New Roman" w:hAnsi="Times New Roman" w:eastAsia="宋体" w:cs="宋体"/>
          <w:sz w:val="20"/>
          <w:lang w:val="en-US" w:eastAsia="zh-CN"/>
        </w:rPr>
        <w:t>分</w:t>
      </w:r>
      <w:r>
        <w:rPr>
          <w:rFonts w:hint="eastAsia" w:ascii="Times New Roman" w:hAnsi="Times New Roman" w:eastAsia="宋体" w:cs="宋体"/>
          <w:sz w:val="20"/>
          <w:lang w:eastAsia="zh-CN"/>
        </w:rPr>
        <w:t>；</w:t>
      </w:r>
    </w:p>
    <w:p w14:paraId="7C24E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/>
        <w:jc w:val="both"/>
        <w:textAlignment w:val="auto"/>
        <w:rPr>
          <w:rFonts w:hint="eastAsia" w:ascii="Times New Roman" w:hAnsi="Times New Roman" w:eastAsia="宋体" w:cs="宋体"/>
          <w:sz w:val="20"/>
          <w:lang w:val="en-US" w:eastAsia="zh-CN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Efficiency</w:t>
      </w:r>
      <w:r>
        <w:rPr>
          <w:rFonts w:hint="eastAsia" w:ascii="Times New Roman" w:hAnsi="Times New Roman" w:eastAsia="宋体" w:cs="宋体"/>
          <w:color w:val="333333"/>
          <w:sz w:val="20"/>
          <w:lang w:eastAsia="zh-CN"/>
        </w:rPr>
        <w:t>：</w:t>
      </w:r>
      <w:r>
        <w:rPr>
          <w:rFonts w:hint="eastAsia" w:ascii="Times New Roman" w:hAnsi="Times New Roman" w:eastAsia="宋体" w:cs="宋体"/>
          <w:sz w:val="20"/>
        </w:rPr>
        <w:t>是否在规定时间内完成</w:t>
      </w:r>
      <w:r>
        <w:rPr>
          <w:rFonts w:hint="eastAsia" w:ascii="Times New Roman" w:hAnsi="Times New Roman" w:eastAsia="宋体" w:cs="宋体"/>
          <w:sz w:val="20"/>
          <w:lang w:eastAsia="zh-CN"/>
        </w:rPr>
        <w:t>，</w:t>
      </w:r>
      <w:r>
        <w:rPr>
          <w:rFonts w:hint="eastAsia" w:ascii="Times New Roman" w:hAnsi="Times New Roman" w:eastAsia="宋体" w:cs="宋体"/>
          <w:sz w:val="20"/>
          <w:lang w:val="en-US" w:eastAsia="zh-CN"/>
        </w:rPr>
        <w:t>5分；</w:t>
      </w:r>
    </w:p>
    <w:p w14:paraId="24DD1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safetyCompliance</w:t>
      </w:r>
      <w:r>
        <w:rPr>
          <w:rFonts w:hint="eastAsia" w:ascii="Times New Roman" w:hAnsi="Times New Roman" w:eastAsia="宋体" w:cs="宋体"/>
          <w:color w:val="333333"/>
          <w:sz w:val="20"/>
          <w:lang w:eastAsia="zh-CN"/>
        </w:rPr>
        <w:t>：</w:t>
      </w:r>
      <w:r>
        <w:rPr>
          <w:rFonts w:hint="eastAsia" w:ascii="Times New Roman" w:hAnsi="Times New Roman" w:eastAsia="宋体" w:cs="宋体"/>
          <w:sz w:val="20"/>
        </w:rPr>
        <w:t>是否存在安全违规操作</w:t>
      </w:r>
      <w:r>
        <w:rPr>
          <w:rFonts w:hint="eastAsia" w:ascii="Times New Roman" w:hAnsi="Times New Roman" w:eastAsia="宋体" w:cs="宋体"/>
          <w:sz w:val="20"/>
          <w:lang w:eastAsia="zh-CN"/>
        </w:rPr>
        <w:t>，</w:t>
      </w:r>
      <w:r>
        <w:rPr>
          <w:rFonts w:hint="eastAsia" w:ascii="Times New Roman" w:hAnsi="Times New Roman" w:eastAsia="宋体" w:cs="宋体"/>
          <w:sz w:val="20"/>
          <w:lang w:val="en-US" w:eastAsia="zh-CN"/>
        </w:rPr>
        <w:t>15分。</w:t>
      </w:r>
    </w:p>
    <w:p w14:paraId="31B85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这些维度可以归纳为五类能力：故障定位能力、诊断推理过程、排故路径质量、操作效率、安全风险控制。</w:t>
      </w:r>
    </w:p>
    <w:p w14:paraId="1DEA844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二、定量评分口径说明</w:t>
      </w:r>
    </w:p>
    <w:p w14:paraId="2392F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为避免外部依据停留在定性层面，当前评分系统将“结果、过程、效率、安全”转化为可计算的百分制指标。系统在提交练习时依据学生完整操作轨迹、关键节点覆盖情况、动态推荐动作匹配结果、耗时和安全违规记录生成分项得分。</w:t>
      </w:r>
    </w:p>
    <w:p w14:paraId="49971D0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1. 总分结构与计算公式</w:t>
      </w:r>
    </w:p>
    <w:p w14:paraId="5C0BA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总分 = faultLocalization + diagnosticTreePath + informationGain + efficiency + safetyCompliance。当前实现版权重为 30 + 20 + 30 + 5 + 15 = 100 分。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900"/>
        <w:gridCol w:w="2700"/>
        <w:gridCol w:w="3660"/>
      </w:tblGrid>
      <w:tr w14:paraId="14FD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1C0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评分项</w:t>
            </w:r>
          </w:p>
        </w:tc>
        <w:tc>
          <w:tcPr>
            <w:tcW w:w="9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7E3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2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C40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定量输入</w:t>
            </w:r>
          </w:p>
        </w:tc>
        <w:tc>
          <w:tcPr>
            <w:tcW w:w="36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626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计算口径</w:t>
            </w:r>
          </w:p>
        </w:tc>
      </w:tr>
      <w:tr w14:paraId="6745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5AF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faultLocalization</w:t>
            </w:r>
          </w:p>
        </w:tc>
        <w:tc>
          <w:tcPr>
            <w:tcW w:w="9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33F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30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309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最终提交的故障名称或故障 ID</w:t>
            </w:r>
          </w:p>
        </w:tc>
        <w:tc>
          <w:tcPr>
            <w:tcW w:w="36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CEE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命中目标故障得 30 分，否则 0 分。</w:t>
            </w:r>
          </w:p>
        </w:tc>
      </w:tr>
      <w:tr w14:paraId="2D06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57C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diagnosticTreePath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41B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E00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关键节点覆盖、无效维修、重复维修、unmatched 动作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60D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关键节点覆盖 12 分 + 路径效率 8 分。</w:t>
            </w:r>
          </w:p>
        </w:tc>
      </w:tr>
      <w:tr w14:paraId="3E27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757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informationGain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3E8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C11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每步动作与动态推荐动作集的匹配质量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55B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所有动作单步决策分取平均后乘以 30。</w:t>
            </w:r>
          </w:p>
        </w:tc>
      </w:tr>
      <w:tr w14:paraId="2CB5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AF6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efficiency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5BE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E0B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提交耗时、fullEfficiencySeconds 阈值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761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不超过阈值得 5 分，超过阈值得 2.5 分。</w:t>
            </w:r>
          </w:p>
        </w:tc>
      </w:tr>
      <w:tr w14:paraId="4009B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1B0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safetyCompliance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337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49F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safetyViolation 次数</w:t>
            </w:r>
          </w:p>
        </w:tc>
        <w:tc>
          <w:tcPr>
            <w:tcW w:w="36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77F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初始 15 分，每次安全违规扣 5 分，最低 0 分。</w:t>
            </w:r>
          </w:p>
        </w:tc>
      </w:tr>
    </w:tbl>
    <w:p w14:paraId="4C9DABA5"/>
    <w:p w14:paraId="009FA2F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2. diagnosticTreePath（20分）的定量判断</w:t>
      </w:r>
    </w:p>
    <w:p w14:paraId="0A540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该项只评价排故路径中的结构性结果，不再单独设置“排故顺序合理性”分，避免与单步决策合理性重复计分。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200"/>
        <w:gridCol w:w="4860"/>
      </w:tblGrid>
      <w:tr w14:paraId="59DDC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F14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子项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513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48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D62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计算方式</w:t>
            </w:r>
          </w:p>
        </w:tc>
      </w:tr>
      <w:tr w14:paraId="71A7A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F72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keyNodeCoverage</w:t>
            </w:r>
          </w:p>
        </w:tc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A2D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48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F29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任务初始化时生成关键节点。当前通常包含关键虚拟测点 6 分、正确维修目标 6 分；学生操作覆盖节点则取得对应分值，合计封顶 12 分。</w:t>
            </w:r>
          </w:p>
        </w:tc>
      </w:tr>
      <w:tr w14:paraId="2E78F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1F4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pathEfficiency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C99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49E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从 8 分开始扣：无效维修次数 × 2 + 重复维修次数 × 1 + unmatched 动作次数 × 1；扣分封顶 8 分。公式：max(0, 8 - min(8, 扣分))。</w:t>
            </w:r>
          </w:p>
        </w:tc>
      </w:tr>
    </w:tbl>
    <w:p w14:paraId="584B721F"/>
    <w:p w14:paraId="3CA27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示例：学生覆盖关键测点和维修目标，keyNodeCoverage = 12；如果存在 1 次无效维修且没有重复维修、没有 unmatched 动作，则 pathEfficiency = 8 - 2 = 6，diagnosticTreePath = 12 + 6 = 18 分。</w:t>
      </w:r>
    </w:p>
    <w:p w14:paraId="73D3E01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3. informationGain（30分）的定量判断</w:t>
      </w:r>
    </w:p>
    <w:p w14:paraId="11265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该项衡量每一步动作在当前证据状态下是否具有诊断价值。系统在学生每次操作前生成动态推荐动作集，动作执行后按匹配质量给出单步决策分。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200"/>
        <w:gridCol w:w="4860"/>
      </w:tblGrid>
      <w:tr w14:paraId="1D4FA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44D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匹配质量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08F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单步分</w:t>
            </w:r>
          </w:p>
        </w:tc>
        <w:tc>
          <w:tcPr>
            <w:tcW w:w="48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6A1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判定含义</w:t>
            </w:r>
          </w:p>
        </w:tc>
      </w:tr>
      <w:tr w14:paraId="6A03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14F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optimal 或排序第 1</w:t>
            </w:r>
          </w:p>
        </w:tc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889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1.0</w:t>
            </w:r>
          </w:p>
        </w:tc>
        <w:tc>
          <w:tcPr>
            <w:tcW w:w="48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8C7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当前证据下最优或优先级最高的动作。</w:t>
            </w:r>
          </w:p>
        </w:tc>
      </w:tr>
      <w:tr w14:paraId="0027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1FA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acceptable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17A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0.7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604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不是最优，但仍能有效推进诊断。</w:t>
            </w:r>
          </w:p>
        </w:tc>
      </w:tr>
      <w:tr w14:paraId="2E64F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D29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lowValue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909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0.4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BFD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诊断价值较低，但并非完全无关。</w:t>
            </w:r>
          </w:p>
        </w:tc>
      </w:tr>
      <w:tr w14:paraId="5AFD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93A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unsafe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F56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51D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命中安全前置条件但未满足，例如维修前未断电。</w:t>
            </w:r>
          </w:p>
        </w:tc>
      </w:tr>
      <w:tr w14:paraId="1A0CA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457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unmatched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895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A12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无法匹配到当前推荐动作集，视为无诊断价值或偏离路径。</w:t>
            </w:r>
          </w:p>
        </w:tc>
      </w:tr>
    </w:tbl>
    <w:p w14:paraId="15C33A79"/>
    <w:p w14:paraId="17E08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informationGain = 30 × 平均单步决策分。若没有有效动作记录，则该项为 0 分。</w:t>
      </w:r>
    </w:p>
    <w:p w14:paraId="017A7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动态推荐动作集由两类动作组成：推荐测点动作和推荐维修动作。</w:t>
      </w:r>
    </w:p>
    <w:p w14:paraId="5FCB2422">
      <w:pPr>
        <w:pStyle w:val="5"/>
        <w:keepNext/>
        <w:keepLines/>
        <w:pageBreakBefore w:val="0"/>
        <w:widowControl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39" w:leftChars="0" w:hanging="420" w:firstLineChars="0"/>
        <w:textAlignment w:val="auto"/>
        <w:rPr>
          <w:b w:val="0"/>
        </w:rPr>
      </w:pPr>
      <w:r>
        <w:rPr>
          <w:b w:val="0"/>
        </w:rPr>
        <w:t>测点动作优先级</w:t>
      </w:r>
    </w:p>
    <w:p w14:paraId="3A797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系统只对尚未测量过的虚拟测点生成 measurePoint 推荐。每个测点先计算 expectedInformationGain：</w:t>
      </w:r>
    </w:p>
    <w:p w14:paraId="13290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expectedInformationGain = min(可检测故障数, 不可检测故障数) × 2 ÷ 总候选故障数</w:t>
      </w:r>
    </w:p>
    <w:p w14:paraId="4D88D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如果一个测点能把候选故障较均衡地分成“可检测/不可检测”两类，它的信息增益较高；如果候选故障在该测点上的表现完全一致，则信息增益为 0。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600"/>
        <w:gridCol w:w="4560"/>
      </w:tblGrid>
      <w:tr w14:paraId="4B07F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DE7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条件</w:t>
            </w:r>
          </w:p>
        </w:tc>
        <w:tc>
          <w:tcPr>
            <w:tcW w:w="26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EA8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priority 计算</w:t>
            </w:r>
          </w:p>
        </w:tc>
        <w:tc>
          <w:tcPr>
            <w:tcW w:w="45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2E4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含义</w:t>
            </w:r>
          </w:p>
        </w:tc>
      </w:tr>
      <w:tr w14:paraId="7C96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730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候选故障数 &lt;= 1</w:t>
            </w:r>
          </w:p>
        </w:tc>
        <w:tc>
          <w:tcPr>
            <w:tcW w:w="26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D6C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45 + int(informationGain × 10)</w:t>
            </w:r>
          </w:p>
        </w:tc>
        <w:tc>
          <w:tcPr>
            <w:tcW w:w="45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8CB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故障范围已基本确定，继续测点的价值下降。</w:t>
            </w:r>
          </w:p>
        </w:tc>
      </w:tr>
      <w:tr w14:paraId="5757F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0D1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候选故障数 &gt; 1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BC5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70 + int(informationGain × 25)</w:t>
            </w:r>
          </w:p>
        </w:tc>
        <w:tc>
          <w:tcPr>
            <w:tcW w:w="45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44F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仍需通过测点继续缩小候选故障范围。</w:t>
            </w:r>
          </w:p>
        </w:tc>
      </w:tr>
    </w:tbl>
    <w:p w14:paraId="760BFA3B"/>
    <w:p w14:paraId="4E0CC2F9">
      <w:pPr>
        <w:pStyle w:val="5"/>
        <w:keepNext/>
        <w:keepLines/>
        <w:pageBreakBefore w:val="0"/>
        <w:widowControl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39" w:leftChars="0" w:hanging="420" w:firstLineChars="0"/>
        <w:textAlignment w:val="auto"/>
        <w:rPr>
          <w:b w:val="0"/>
        </w:rPr>
      </w:pPr>
      <w:r>
        <w:rPr>
          <w:b w:val="0"/>
        </w:rPr>
        <w:t>维修动作优先级</w:t>
      </w:r>
    </w:p>
    <w:p w14:paraId="303B4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维修动作来自当前仍启用且可修复的故障实例。系统根据候选故障数量、是否还有高价值测点、已有观测数量来决定维修动作优先级。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100"/>
        <w:gridCol w:w="2300"/>
        <w:gridCol w:w="3360"/>
      </w:tblGrid>
      <w:tr w14:paraId="4636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E60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条件</w:t>
            </w:r>
          </w:p>
        </w:tc>
        <w:tc>
          <w:tcPr>
            <w:tcW w:w="11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6B4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priority</w:t>
            </w:r>
          </w:p>
        </w:tc>
        <w:tc>
          <w:tcPr>
            <w:tcW w:w="23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F14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confidence</w:t>
            </w:r>
          </w:p>
        </w:tc>
        <w:tc>
          <w:tcPr>
            <w:tcW w:w="33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432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含义</w:t>
            </w:r>
          </w:p>
        </w:tc>
      </w:tr>
      <w:tr w14:paraId="38C7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BEF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候选故障数 &lt;= 1</w:t>
            </w:r>
          </w:p>
        </w:tc>
        <w:tc>
          <w:tcPr>
            <w:tcW w:w="11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184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92</w:t>
            </w:r>
          </w:p>
        </w:tc>
        <w:tc>
          <w:tcPr>
            <w:tcW w:w="23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1A5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0.90</w:t>
            </w:r>
          </w:p>
        </w:tc>
        <w:tc>
          <w:tcPr>
            <w:tcW w:w="33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C7B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故障已基本定位，推荐维修为 optimal。</w:t>
            </w:r>
          </w:p>
        </w:tc>
      </w:tr>
      <w:tr w14:paraId="04FA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A4B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仍有测点可继续区分候选故障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C7F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62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485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已有观测 0.55；无观测 0.45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A72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建议继续采证，维修可接受但不是最优。</w:t>
            </w:r>
          </w:p>
        </w:tc>
      </w:tr>
      <w:tr w14:paraId="13F0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8CD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没有更好的测点可测，且已有观测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2B8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84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744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0.72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386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证据足够，维修动作价值较高。</w:t>
            </w:r>
          </w:p>
        </w:tc>
      </w:tr>
      <w:tr w14:paraId="0AC1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73B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没有更好的测点可测，且无观测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36E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72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43A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0.58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210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可维修但置信度较低。</w:t>
            </w:r>
          </w:p>
        </w:tc>
      </w:tr>
    </w:tbl>
    <w:p w14:paraId="0685C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如果两个动作 priority 一样，confidence 高的排前；</w:t>
      </w:r>
    </w:p>
    <w:p w14:paraId="7AD89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bookmarkStart w:id="0" w:name="_GoBack"/>
      <w:bookmarkEnd w:id="0"/>
    </w:p>
    <w:p w14:paraId="1F223506">
      <w:pPr>
        <w:pStyle w:val="5"/>
        <w:keepNext/>
        <w:keepLines/>
        <w:pageBreakBefore w:val="0"/>
        <w:widowControl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39" w:leftChars="0" w:hanging="420" w:firstLineChars="0"/>
        <w:textAlignment w:val="auto"/>
        <w:rPr>
          <w:rFonts w:hint="eastAsia"/>
          <w:b w:val="0"/>
        </w:rPr>
      </w:pPr>
      <w:r>
        <w:rPr>
          <w:b w:val="0"/>
        </w:rPr>
        <w:t>priority 转</w:t>
      </w:r>
      <w:r>
        <w:rPr>
          <w:rFonts w:hint="eastAsia"/>
          <w:b w:val="0"/>
          <w:lang w:val="en-US" w:eastAsia="zh-CN"/>
        </w:rPr>
        <w:t>换</w:t>
      </w:r>
      <w:r>
        <w:rPr>
          <w:b w:val="0"/>
        </w:rPr>
        <w:t xml:space="preserve"> recommendationTier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45047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DD9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priority 范围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73A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recommendationTier</w:t>
            </w:r>
          </w:p>
        </w:tc>
        <w:tc>
          <w:tcPr>
            <w:tcW w:w="4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515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含义</w:t>
            </w:r>
          </w:p>
        </w:tc>
      </w:tr>
      <w:tr w14:paraId="3F31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5CB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&gt;= 80</w:t>
            </w:r>
          </w:p>
        </w:tc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34C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optimal</w:t>
            </w:r>
          </w:p>
        </w:tc>
        <w:tc>
          <w:tcPr>
            <w:tcW w:w="4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6DC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当前状态下推荐价值最高。</w:t>
            </w:r>
          </w:p>
        </w:tc>
      </w:tr>
      <w:tr w14:paraId="113CE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F9D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&gt;= 50 且 &lt; 80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B2F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acceptable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71E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可以推进诊断，但不是最优动作。</w:t>
            </w:r>
          </w:p>
        </w:tc>
      </w:tr>
      <w:tr w14:paraId="63E0F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BF2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&lt; 50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FCE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lowValue</w:t>
            </w:r>
          </w:p>
        </w:tc>
        <w:tc>
          <w:tcPr>
            <w:tcW w:w="4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AAB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诊断价值较低。</w:t>
            </w:r>
          </w:p>
        </w:tc>
      </w:tr>
    </w:tbl>
    <w:p w14:paraId="2A299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</w:pPr>
    </w:p>
    <w:p w14:paraId="41564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学生实践示例：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200"/>
        <w:gridCol w:w="4860"/>
      </w:tblGrid>
      <w:tr w14:paraId="33F9F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F89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学生动作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667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匹配质量</w:t>
            </w:r>
          </w:p>
        </w:tc>
        <w:tc>
          <w:tcPr>
            <w:tcW w:w="48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EB1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单步分</w:t>
            </w:r>
          </w:p>
        </w:tc>
      </w:tr>
      <w:tr w14:paraId="77475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35B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测量推荐测点 V1</w:t>
            </w:r>
          </w:p>
        </w:tc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691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optimal</w:t>
            </w:r>
          </w:p>
        </w:tc>
        <w:tc>
          <w:tcPr>
            <w:tcW w:w="48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C65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1.0</w:t>
            </w:r>
          </w:p>
        </w:tc>
      </w:tr>
      <w:tr w14:paraId="08109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19B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测量次优但合理测点 V2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DAF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acceptable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2C1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0.7</w:t>
            </w:r>
          </w:p>
        </w:tc>
      </w:tr>
      <w:tr w14:paraId="4737B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AC0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维修错误对象或无关操作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45D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unmatched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51A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0</w:t>
            </w:r>
          </w:p>
        </w:tc>
      </w:tr>
    </w:tbl>
    <w:p w14:paraId="0D439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示例计算：(1.0 + 0.7 + 0) ÷ 3 × 30 = 17 分。该分值反映学生每一步是否持续缩小故障候选范围，而不是只看最终是否修好。</w:t>
      </w:r>
    </w:p>
    <w:p w14:paraId="4585EEB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4. 定量指标与外部依据的对应关系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200"/>
        <w:gridCol w:w="4860"/>
      </w:tblGrid>
      <w:tr w14:paraId="16582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1FB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定量指标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BF1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可量化数据</w:t>
            </w:r>
          </w:p>
        </w:tc>
        <w:tc>
          <w:tcPr>
            <w:tcW w:w="48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80A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外部依据支撑点</w:t>
            </w:r>
          </w:p>
        </w:tc>
      </w:tr>
      <w:tr w14:paraId="73DC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AA2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关键节点覆盖率</w:t>
            </w:r>
          </w:p>
        </w:tc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0DD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已覆盖关键节点分值 ÷ 关键节点总分值</w:t>
            </w:r>
          </w:p>
        </w:tc>
        <w:tc>
          <w:tcPr>
            <w:tcW w:w="48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0A3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诊断/维修训练强调关键检测点、证据链和故障定位节点。</w:t>
            </w:r>
          </w:p>
        </w:tc>
      </w:tr>
      <w:tr w14:paraId="09DB7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C5A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单步决策平均分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298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Σ 单步匹配分 ÷ 动作数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CFE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诊断推理研究强调证据生成、证据评价和结论形成的过程分析。</w:t>
            </w:r>
          </w:p>
        </w:tc>
      </w:tr>
      <w:tr w14:paraId="3396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759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路径效率扣分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631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无效维修、重复维修、unmatched 动作数量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B95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排故教学研究强调结构化排故优于随机试错。</w:t>
            </w:r>
          </w:p>
        </w:tc>
      </w:tr>
      <w:tr w14:paraId="76A1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F8C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安全合规扣分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D21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safetyViolation 次数 × 5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925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职业维修认证和仿真实训评价均将风险管理作为独立能力。</w:t>
            </w:r>
          </w:p>
        </w:tc>
      </w:tr>
      <w:tr w14:paraId="5BF9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A11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最终故障定位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D89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提交故障与目标故障是否匹配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FD1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维修认证与故障诊断模型均要求明确定位故障类型和对象。</w:t>
            </w:r>
          </w:p>
        </w:tc>
      </w:tr>
    </w:tbl>
    <w:p w14:paraId="21E3F062"/>
    <w:p w14:paraId="12AFA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因此，外部依据支撑的是“为什么要评价这些维度”，平台实现进一步将这些维度落到可计算字段、分值权重和扣分公式上。</w:t>
      </w:r>
    </w:p>
    <w:p w14:paraId="4F8FD8F4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alibri" w:hAnsi="Calibri" w:eastAsia="微软雅黑"/>
          <w:b w:val="0"/>
        </w:rPr>
      </w:pPr>
      <w:r>
        <w:rPr>
          <w:rFonts w:hint="eastAsia" w:ascii="Calibri" w:hAnsi="Calibri" w:eastAsia="微软雅黑"/>
          <w:b w:val="0"/>
          <w:lang w:val="en-US" w:eastAsia="zh-CN"/>
        </w:rPr>
        <w:t>三</w:t>
      </w:r>
      <w:r>
        <w:rPr>
          <w:rFonts w:ascii="Calibri" w:hAnsi="Calibri" w:eastAsia="微软雅黑"/>
          <w:b w:val="0"/>
        </w:rPr>
        <w:t>、外部依据与可支撑内容</w:t>
      </w:r>
    </w:p>
    <w:p w14:paraId="27D0EDF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1. 职业维修认证强调“知识、风险管理、技能”的综合评价</w:t>
      </w:r>
    </w:p>
    <w:p w14:paraId="791D5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美国 eCFR 14 CFR 65.79 对航空机械员证书技能要求规定，申请人需要通过口试和实践测试，并展示相应科目的知识、风险管理和技能要素。该规定不是针对本平台的评分模板，但它说明维修类实操评价不只考最终答案，还要考风险管理和实际技能表现。</w:t>
      </w:r>
    </w:p>
    <w:p w14:paraId="31101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可支撑的平台评分项：</w:t>
      </w:r>
    </w:p>
    <w:p w14:paraId="43B02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faultLocalization：维修/诊断任务需要证明对故障对象的理解。</w:t>
      </w:r>
    </w:p>
    <w:p w14:paraId="070AE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safetyCompliance：风险管理是技能认证的一部分。</w:t>
      </w:r>
    </w:p>
    <w:p w14:paraId="22199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diagnosticTreePath：实践测试关注实际技能表现，而不是单纯笔试结果。</w:t>
      </w:r>
    </w:p>
    <w:p w14:paraId="6F0AC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宋体" w:hAnsi="宋体" w:eastAsia="宋体" w:cs="宋体"/>
          <w:sz w:val="21"/>
          <w:szCs w:val="21"/>
        </w:rPr>
        <w:t>来源：</w:t>
      </w:r>
      <w:r>
        <w:rPr>
          <w:rFonts w:hint="eastAsia" w:ascii="Times New Roman" w:hAnsi="Times New Roman" w:eastAsia="宋体" w:cs="宋体"/>
          <w:color w:val="333333"/>
          <w:sz w:val="20"/>
        </w:rPr>
        <w:t xml:space="preserve">eCFR, 14 CFR§65.79 Skill requirements: 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begin"/>
      </w:r>
      <w:r>
        <w:rPr>
          <w:rFonts w:hint="eastAsia" w:ascii="Times New Roman" w:hAnsi="Times New Roman" w:eastAsia="宋体" w:cs="宋体"/>
          <w:color w:val="333333"/>
          <w:sz w:val="20"/>
        </w:rPr>
        <w:instrText xml:space="preserve"> HYPERLINK "https://www.ecfr.gov/current/title-14/chapter-I/subchapter-D/part-65/subpart-D/section-65.79" \h </w:instrTex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separate"/>
      </w:r>
      <w:r>
        <w:rPr>
          <w:rFonts w:hint="eastAsia" w:ascii="Times New Roman" w:hAnsi="Times New Roman" w:eastAsia="宋体" w:cs="宋体"/>
          <w:color w:val="333333"/>
          <w:sz w:val="20"/>
        </w:rPr>
        <w:t>https://www.ecfr.gov/current/title-14/chapter-I/subchapter-D/part-65/subpart-D/section-65.79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end"/>
      </w:r>
    </w:p>
    <w:p w14:paraId="6C16A7E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2. 电子实验排故研究将 troubleshooting 定义为“诊断并修复故障系统”的认知任务</w:t>
      </w:r>
    </w:p>
    <w:p w14:paraId="2F3DDB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Dounas-Frazer 与 Lewandowski 对电子实验课程排故教学与评价进行了研究。文中将 troubleshooting 描述为诊断和修复故障系统的过程，并指出合格排故需要多类知识：领域知识、系统知识、程序性知识和策略性知识。同时，排故过程包含生成故障原因、执行测试、依据测试结果缩小问题空间等子任务。</w:t>
      </w:r>
      <w:r>
        <w:rPr>
          <w:rFonts w:hint="eastAsia" w:ascii="宋体" w:hAnsi="宋体" w:eastAsia="宋体" w:cs="宋体"/>
          <w:sz w:val="21"/>
          <w:szCs w:val="21"/>
        </w:rPr>
        <w:t>这与平台“关键测点选择、测量证据、维修动作、路径组织、动态参考匹配”的设计一致。</w:t>
      </w:r>
    </w:p>
    <w:p w14:paraId="0DEA2D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可支撑的平台评分项：</w:t>
      </w:r>
    </w:p>
    <w:p w14:paraId="14D77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diagnosticTreePath：检测节点选择、关键节点覆盖和路径效率。</w:t>
      </w:r>
    </w:p>
    <w:p w14:paraId="4930D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informationGain：每一步测量或维修是否有助于缩小故障范围。</w:t>
      </w:r>
    </w:p>
    <w:p w14:paraId="2DB6E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efficiency：结构化排故策略比随机试错更高效。</w:t>
      </w:r>
    </w:p>
    <w:p w14:paraId="1AC6A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宋体" w:hAnsi="宋体" w:eastAsia="宋体" w:cs="宋体"/>
          <w:sz w:val="21"/>
          <w:szCs w:val="21"/>
        </w:rPr>
        <w:t>来源：</w:t>
      </w:r>
      <w:r>
        <w:rPr>
          <w:rFonts w:hint="eastAsia" w:ascii="Times New Roman" w:hAnsi="Times New Roman" w:eastAsia="宋体" w:cs="宋体"/>
          <w:color w:val="333333"/>
          <w:sz w:val="20"/>
        </w:rPr>
        <w:t xml:space="preserve">Dounas-Frazer, D. R., &amp; Lewandowski, H. J. (2016). *Electronics lab instructors' approaches to troubleshooting instruction*. 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begin"/>
      </w:r>
      <w:r>
        <w:rPr>
          <w:rFonts w:hint="eastAsia" w:ascii="Times New Roman" w:hAnsi="Times New Roman" w:eastAsia="宋体" w:cs="宋体"/>
          <w:color w:val="333333"/>
          <w:sz w:val="20"/>
        </w:rPr>
        <w:instrText xml:space="preserve"> HYPERLINK "https://arxiv.org/abs/1610.01564" \h </w:instrTex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separate"/>
      </w:r>
      <w:r>
        <w:rPr>
          <w:rFonts w:hint="eastAsia" w:ascii="Times New Roman" w:hAnsi="Times New Roman" w:eastAsia="宋体" w:cs="宋体"/>
          <w:color w:val="333333"/>
          <w:sz w:val="20"/>
        </w:rPr>
        <w:t>https://arxiv.org/abs/1610.01564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end"/>
      </w:r>
    </w:p>
    <w:p w14:paraId="6BE7BE9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3. 诊断推理研究强调“假设、证据、证据评价、结论”的过程性评价</w:t>
      </w:r>
    </w:p>
    <w:p w14:paraId="1B014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Schulz 等人的诊断推理自动分析研究指出，诊断推理是许多职业的核心能力。教育心理学通常通过分析学生诊断过程中的认知活动来进行反馈，包括假设生成、证据生成、证据评价和形成结论。这直接支撑本平台不只看学生最后是否猜中故障，还记录每步操作，将测点、维修、匹配结果和最终判断一起评价。</w:t>
      </w:r>
    </w:p>
    <w:p w14:paraId="3ADCA6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可支撑的平台评分项：</w:t>
      </w:r>
    </w:p>
    <w:p w14:paraId="2AA11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informationGain：每步动作是否能生成或评价有效证据。</w:t>
      </w:r>
    </w:p>
    <w:p w14:paraId="7BBE2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diagnosticTreePath：路径是否体现从证据到结论的逻辑链。</w:t>
      </w:r>
    </w:p>
    <w:p w14:paraId="2F09C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faultLocalization：最终结论是否与证据链一致并命中目标故障。</w:t>
      </w:r>
    </w:p>
    <w:p w14:paraId="0070D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宋体" w:hAnsi="宋体" w:eastAsia="宋体" w:cs="宋体"/>
          <w:sz w:val="21"/>
          <w:szCs w:val="21"/>
        </w:rPr>
        <w:t>来源：</w:t>
      </w:r>
      <w:r>
        <w:rPr>
          <w:rFonts w:hint="eastAsia" w:ascii="Times New Roman" w:hAnsi="Times New Roman" w:eastAsia="宋体" w:cs="宋体"/>
          <w:color w:val="333333"/>
          <w:sz w:val="20"/>
        </w:rPr>
        <w:t xml:space="preserve">Schulz, C., Meyer, C. M., Sailer, M., Kiesewetter, J., Bauer, E., Fischer, F., Fischer, M. R., &amp; Gurevych, I. (2018). *Challenges in the Automatic Analysis of Students' Diagnostic Reasoning*. 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begin"/>
      </w:r>
      <w:r>
        <w:rPr>
          <w:rFonts w:hint="eastAsia" w:ascii="Times New Roman" w:hAnsi="Times New Roman" w:eastAsia="宋体" w:cs="宋体"/>
          <w:color w:val="333333"/>
          <w:sz w:val="20"/>
        </w:rPr>
        <w:instrText xml:space="preserve"> HYPERLINK "https://arxiv.org/abs/1811.10550" \h </w:instrTex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separate"/>
      </w:r>
      <w:r>
        <w:rPr>
          <w:rFonts w:hint="eastAsia" w:ascii="Times New Roman" w:hAnsi="Times New Roman" w:eastAsia="宋体" w:cs="宋体"/>
          <w:color w:val="333333"/>
          <w:sz w:val="20"/>
        </w:rPr>
        <w:t>https://arxiv.org/abs/1811.10550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end"/>
      </w:r>
    </w:p>
    <w:p w14:paraId="32F7B21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4. 物理计算排故评价强调“超越正确答案”，关注排故思维过程</w:t>
      </w:r>
    </w:p>
    <w:p w14:paraId="20D37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Morales-Navarro 等人针对物理计算中的排故思维变化提出评价方法。研究指出，物理计算排故是高度情境化的实践，涉及硬件、软件、多模态信息和多种技能；评价工具应能揭示学生的排故过程，而不只是看答案是否正确或学生自我感受。这支持平台记录完整操作轨迹、关键节点、迭代测试和错误路径，并在成绩之外输出扣分原因与反馈。</w:t>
      </w:r>
    </w:p>
    <w:p w14:paraId="3FE22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可支撑的平台评分项：</w:t>
      </w:r>
    </w:p>
    <w:p w14:paraId="5D48B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diagnosticTreePath：评价学生是否有清晰、具体、可解释的排故过程。</w:t>
      </w:r>
    </w:p>
    <w:p w14:paraId="0B136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informationGain：评价迭代测试是否产生有效证据。</w:t>
      </w:r>
    </w:p>
    <w:p w14:paraId="1F52D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deductions / record.pathEvaluation：输出过程性反馈和扣分依据。</w:t>
      </w:r>
    </w:p>
    <w:p w14:paraId="048FC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宋体" w:hAnsi="宋体" w:eastAsia="宋体" w:cs="宋体"/>
          <w:sz w:val="21"/>
          <w:szCs w:val="21"/>
        </w:rPr>
        <w:t>来源：</w:t>
      </w:r>
      <w:r>
        <w:rPr>
          <w:rFonts w:hint="eastAsia" w:ascii="Times New Roman" w:hAnsi="Times New Roman" w:eastAsia="宋体" w:cs="宋体"/>
          <w:color w:val="333333"/>
          <w:sz w:val="20"/>
        </w:rPr>
        <w:t xml:space="preserve">Morales-Navarro, L., Fields, D. A., Kafai, Y. B., &amp; Barapatre, D. (2024). *Assessing Changes in Thinking about Troubleshooting in Physical Computing*. 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begin"/>
      </w:r>
      <w:r>
        <w:rPr>
          <w:rFonts w:hint="eastAsia" w:ascii="Times New Roman" w:hAnsi="Times New Roman" w:eastAsia="宋体" w:cs="宋体"/>
          <w:color w:val="333333"/>
          <w:sz w:val="20"/>
        </w:rPr>
        <w:instrText xml:space="preserve"> HYPERLINK "https://arxiv.org/abs/2412.03687" \h </w:instrTex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separate"/>
      </w:r>
      <w:r>
        <w:rPr>
          <w:rFonts w:hint="eastAsia" w:ascii="Times New Roman" w:hAnsi="Times New Roman" w:eastAsia="宋体" w:cs="宋体"/>
          <w:color w:val="333333"/>
          <w:sz w:val="20"/>
        </w:rPr>
        <w:t>https://arxiv.org/abs/2412.03687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end"/>
      </w:r>
    </w:p>
    <w:p w14:paraId="1EEC0D1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5. VR/仿真训练评分研究支持基于轨迹数据和专家样本进行自动评价</w:t>
      </w:r>
    </w:p>
    <w:p w14:paraId="51EFA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Vaughan 与 Gabrys 针对 VR 训练模拟器提出评分与评估方法。研究指出，VR 模拟器可以捕获详细的多维操作数据，用于表现分析；专家记录可用于指导新手；评估反馈能够帮助受训者改进技能和一致性，错误也可以动态检测。虽然该研究场景是医疗 VR，不是故障注入平台，但其方法论与三维实践平台相似：使用仿真环境记录操作轨迹，将学生轨迹与专家/标准轨迹进行比较，并输出自动化评价。</w:t>
      </w:r>
    </w:p>
    <w:p w14:paraId="6EBEF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可支撑的平台评分项：</w:t>
      </w:r>
    </w:p>
    <w:p w14:paraId="400CD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diagnosticTreePath：学生操作轨迹可与标准排故路径比较。</w:t>
      </w:r>
    </w:p>
    <w:p w14:paraId="5B910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informationGain：每一步动作可与动态参考动作集比较。</w:t>
      </w:r>
    </w:p>
    <w:p w14:paraId="7BC7A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safetyCompliance：可在过程中识别危险动作并触发扣分。</w:t>
      </w:r>
    </w:p>
    <w:p w14:paraId="0A6B0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宋体" w:hAnsi="宋体" w:eastAsia="宋体" w:cs="宋体"/>
          <w:sz w:val="21"/>
          <w:szCs w:val="21"/>
        </w:rPr>
        <w:t>来源：</w:t>
      </w:r>
      <w:r>
        <w:rPr>
          <w:rFonts w:hint="eastAsia" w:ascii="Times New Roman" w:hAnsi="Times New Roman" w:eastAsia="宋体" w:cs="宋体"/>
          <w:color w:val="333333"/>
          <w:sz w:val="20"/>
        </w:rPr>
        <w:t xml:space="preserve">Vaughan, N., &amp; Gabrys, B. (2020). *Scoring and Assessment in Medical VR Training Simulators with Dynamic Time Series Classification*. 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begin"/>
      </w:r>
      <w:r>
        <w:rPr>
          <w:rFonts w:hint="eastAsia" w:ascii="Times New Roman" w:hAnsi="Times New Roman" w:eastAsia="宋体" w:cs="宋体"/>
          <w:color w:val="333333"/>
          <w:sz w:val="20"/>
        </w:rPr>
        <w:instrText xml:space="preserve"> HYPERLINK "https://arxiv.org/abs/2006.12366" \h </w:instrTex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separate"/>
      </w:r>
      <w:r>
        <w:rPr>
          <w:rFonts w:hint="eastAsia" w:ascii="Times New Roman" w:hAnsi="Times New Roman" w:eastAsia="宋体" w:cs="宋体"/>
          <w:color w:val="333333"/>
          <w:sz w:val="20"/>
        </w:rPr>
        <w:t>https://arxiv.org/abs/2006.12366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end"/>
      </w:r>
    </w:p>
    <w:p w14:paraId="59C3D90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6. 工业信息物理系统故障诊断研究支持模型、知识、故障树等可解释诊断依据</w:t>
      </w:r>
    </w:p>
    <w:p w14:paraId="3B201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jc w:val="both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Dowdeswell 等人的工业信息物理系统故障诊断综述覆盖航空、汽车和工业控制等领域，归纳了模型驱动、数据驱动、知识驱动等故障诊断方法，并提到故障树、Petri 网、Markov 方法等在故障识别和分析中的使用。这为平台使用 D 矩阵、故障树关键节点、可检测关系、候选故障集和动态推荐动作提供了工程依据。它说明故障诊断系统通常需要可解释的模型结构，而不是只给出黑箱结论。</w:t>
      </w:r>
    </w:p>
    <w:p w14:paraId="5B658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可支撑的平台评分项：</w:t>
      </w:r>
    </w:p>
    <w:p w14:paraId="06626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diagnosticTreePath：基于故障树关键节点、D 矩阵测点覆盖评价路径质量。</w:t>
      </w:r>
    </w:p>
    <w:p w14:paraId="6A69B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informationGain：基于候选故障集和测点区分度评价动作价值。</w:t>
      </w:r>
    </w:p>
    <w:p w14:paraId="397D3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0" w:leftChars="200" w:firstLine="0" w:firstLineChars="0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Times New Roman" w:hAnsi="Times New Roman" w:eastAsia="宋体" w:cs="宋体"/>
          <w:color w:val="333333"/>
          <w:sz w:val="20"/>
        </w:rPr>
        <w:t>faultLocalization：最终故障判断来自可追溯的诊断模型。</w:t>
      </w:r>
    </w:p>
    <w:p w14:paraId="18249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Times New Roman" w:hAnsi="Times New Roman" w:eastAsia="宋体" w:cs="宋体"/>
          <w:color w:val="333333"/>
          <w:sz w:val="20"/>
        </w:rPr>
      </w:pPr>
      <w:r>
        <w:rPr>
          <w:rFonts w:hint="eastAsia" w:ascii="宋体" w:hAnsi="宋体" w:eastAsia="宋体" w:cs="宋体"/>
          <w:sz w:val="21"/>
          <w:szCs w:val="21"/>
        </w:rPr>
        <w:t>来源：</w:t>
      </w:r>
      <w:r>
        <w:rPr>
          <w:rFonts w:hint="eastAsia" w:ascii="Times New Roman" w:hAnsi="Times New Roman" w:eastAsia="宋体" w:cs="宋体"/>
          <w:color w:val="333333"/>
          <w:sz w:val="20"/>
        </w:rPr>
        <w:t xml:space="preserve">Dowdeswell, B., Sinha, R., &amp; MacDonell, S. G. (2021). *Finding faults: A scoping study of fault diagnostics for Industrial Cyber-Physical Systems*. 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begin"/>
      </w:r>
      <w:r>
        <w:rPr>
          <w:rFonts w:hint="eastAsia" w:ascii="Times New Roman" w:hAnsi="Times New Roman" w:eastAsia="宋体" w:cs="宋体"/>
          <w:color w:val="333333"/>
          <w:sz w:val="20"/>
        </w:rPr>
        <w:instrText xml:space="preserve"> HYPERLINK "https://arxiv.org/abs/2101.05451" \h </w:instrTex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separate"/>
      </w:r>
      <w:r>
        <w:rPr>
          <w:rFonts w:hint="eastAsia" w:ascii="Times New Roman" w:hAnsi="Times New Roman" w:eastAsia="宋体" w:cs="宋体"/>
          <w:color w:val="333333"/>
          <w:sz w:val="20"/>
        </w:rPr>
        <w:t>https://arxiv.org/abs/2101.05451</w:t>
      </w:r>
      <w:r>
        <w:rPr>
          <w:rFonts w:hint="eastAsia" w:ascii="Times New Roman" w:hAnsi="Times New Roman" w:eastAsia="宋体" w:cs="宋体"/>
          <w:color w:val="333333"/>
          <w:sz w:val="20"/>
        </w:rPr>
        <w:fldChar w:fldCharType="end"/>
      </w:r>
    </w:p>
    <w:p w14:paraId="2F6E88B7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Calibri" w:hAnsi="Calibri" w:eastAsia="微软雅黑"/>
          <w:b w:val="0"/>
        </w:rPr>
      </w:pPr>
      <w:r>
        <w:rPr>
          <w:rFonts w:hint="eastAsia" w:ascii="Calibri" w:hAnsi="Calibri" w:eastAsia="微软雅黑"/>
          <w:b w:val="0"/>
          <w:lang w:val="en-US" w:eastAsia="zh-CN"/>
        </w:rPr>
        <w:t>四、</w:t>
      </w:r>
      <w:r>
        <w:rPr>
          <w:rFonts w:ascii="Calibri" w:hAnsi="Calibri" w:eastAsia="微软雅黑"/>
          <w:b w:val="0"/>
        </w:rPr>
        <w:t>外部依据与平台评分项</w:t>
      </w:r>
      <w:r>
        <w:rPr>
          <w:rFonts w:hint="eastAsia" w:ascii="Calibri" w:hAnsi="Calibri" w:eastAsia="微软雅黑"/>
          <w:b w:val="0"/>
          <w:lang w:val="en-US" w:eastAsia="zh-CN"/>
        </w:rPr>
        <w:t>映射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2244"/>
        <w:gridCol w:w="5129"/>
      </w:tblGrid>
      <w:tr w14:paraId="4C6C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C51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平台评分项</w:t>
            </w:r>
          </w:p>
        </w:tc>
        <w:tc>
          <w:tcPr>
            <w:tcW w:w="22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390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外部依据支撑</w:t>
            </w:r>
          </w:p>
        </w:tc>
        <w:tc>
          <w:tcPr>
            <w:tcW w:w="51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912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说明</w:t>
            </w:r>
          </w:p>
        </w:tc>
      </w:tr>
      <w:tr w14:paraId="5E28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F51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故障定位</w:t>
            </w:r>
          </w:p>
        </w:tc>
        <w:tc>
          <w:tcPr>
            <w:tcW w:w="22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B2D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职业维修认证、诊断推理研究、故障诊断综述</w:t>
            </w:r>
          </w:p>
        </w:tc>
        <w:tc>
          <w:tcPr>
            <w:tcW w:w="512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FBC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维修/诊断任务最终必须定位故障类型和位置</w:t>
            </w:r>
          </w:p>
        </w:tc>
      </w:tr>
      <w:tr w14:paraId="0F0B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2FE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诊断树路径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E08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电子排故研究、物理计算排故评价、故障诊断综述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40B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排故能力体现为测点选择、路径顺序、关键节点覆盖和证据链</w:t>
            </w:r>
          </w:p>
        </w:tc>
      </w:tr>
      <w:tr w14:paraId="341ED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CF5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单步决策合理性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ADF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诊断推理研究、电子排故研究、VR 轨迹评价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DFB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每一步动作都应产生有效信息或推进诊断</w:t>
            </w:r>
          </w:p>
        </w:tc>
      </w:tr>
      <w:tr w14:paraId="0237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E86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效率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4B3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电子排故研究、VR 轨迹评价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EB63">
            <w:pPr>
              <w:spacing w:after="0" w:line="264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结构化排故应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节约排故时间</w:t>
            </w:r>
          </w:p>
        </w:tc>
      </w:tr>
      <w:tr w14:paraId="2FEE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CD2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安全合规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AA3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职业维修认证、VR 训练评价</w:t>
            </w:r>
          </w:p>
        </w:tc>
        <w:tc>
          <w:tcPr>
            <w:tcW w:w="51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C41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实操训练必须把风险控制作为独立评价维度</w:t>
            </w:r>
          </w:p>
        </w:tc>
      </w:tr>
    </w:tbl>
    <w:p w14:paraId="60118254">
      <w:pPr>
        <w:spacing w:after="0" w:line="264" w:lineRule="auto"/>
        <w:jc w:val="center"/>
      </w:pP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FE006">
    <w:pPr>
      <w:pStyle w:val="24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C337B0"/>
    <w:multiLevelType w:val="multilevel"/>
    <w:tmpl w:val="C2C337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E22A83"/>
    <w:rsid w:val="0CE968A8"/>
    <w:rsid w:val="20291E05"/>
    <w:rsid w:val="3BE00FCE"/>
    <w:rsid w:val="43E715B7"/>
    <w:rsid w:val="4755754A"/>
    <w:rsid w:val="50F545A4"/>
    <w:rsid w:val="70D7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line="360" w:lineRule="auto"/>
      <w:outlineLvl w:val="0"/>
    </w:pPr>
    <w:rPr>
      <w:rFonts w:eastAsia="宋体" w:asciiTheme="majorAscii" w:hAnsiTheme="majorAscii" w:cstheme="majorBidi"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napToGrid w:val="0"/>
      <w:spacing w:line="360" w:lineRule="auto"/>
      <w:outlineLvl w:val="1"/>
    </w:pPr>
    <w:rPr>
      <w:rFonts w:ascii="Times New Roman" w:hAnsi="Times New Roman" w:eastAsia="宋体" w:cstheme="majorBidi"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line="360" w:lineRule="auto"/>
      <w:outlineLvl w:val="2"/>
    </w:pPr>
    <w:rPr>
      <w:rFonts w:ascii="Times New Roman" w:hAnsi="Times New Roman" w:eastAsia="宋体" w:cstheme="majorBidi"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eastAsia="宋体" w:asciiTheme="majorAscii" w:hAnsiTheme="majorAscii" w:cstheme="majorBidi"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0">
    <w:name w:val="Heading 2 Char"/>
    <w:basedOn w:val="132"/>
    <w:link w:val="4"/>
    <w:qFormat/>
    <w:uiPriority w:val="9"/>
    <w:rPr>
      <w:rFonts w:ascii="Times New Roman" w:hAnsi="Times New Roman" w:eastAsia="宋体" w:cstheme="majorBidi"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="Times New Roman" w:hAnsi="Times New Roman" w:eastAsia="宋体" w:cstheme="majorBidi"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Basis Title"/>
    <w:qFormat/>
    <w:uiPriority w:val="0"/>
    <w:pPr>
      <w:spacing w:before="0" w:after="200" w:line="276" w:lineRule="auto"/>
    </w:pPr>
    <w:rPr>
      <w:rFonts w:ascii="Calibri" w:hAnsi="Calibri" w:eastAsia="微软雅黑" w:cstheme="minorBidi"/>
      <w:b/>
      <w:color w:val="0B2545"/>
      <w:sz w:val="4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3384</Words>
  <Characters>5163</Characters>
  <Lines>0</Lines>
  <Paragraphs>0</Paragraphs>
  <TotalTime>1</TotalTime>
  <ScaleCrop>false</ScaleCrop>
  <LinksUpToDate>false</LinksUpToDate>
  <CharactersWithSpaces>5447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????, ????, ????, ????</cp:keywords>
  <cp:lastModifiedBy>。。</cp:lastModifiedBy>
  <dcterms:modified xsi:type="dcterms:W3CDTF">2026-07-09T09:06:38Z</dcterms:modified>
  <dc:subject>??????????</dc:subject>
  <dc:title>??????????????????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eyJoZGlkIjoiZjViZDg5YjE2ODY2MDBmZDI4N2ViMjk3YmM2NTRkNjEiLCJ1c2VySWQiOiIxMzY1Njg3NDM5In0=</vt:lpwstr>
  </property>
  <property fmtid="{D5CDD505-2E9C-101B-9397-08002B2CF9AE}" pid="3" name="KSOProductBuildVer">
    <vt:lpwstr>2052-12.1.0.26899</vt:lpwstr>
  </property>
  <property fmtid="{D5CDD505-2E9C-101B-9397-08002B2CF9AE}" pid="4" name="ICV">
    <vt:lpwstr>860932AA19564681A656CC17B17FD383_13</vt:lpwstr>
  </property>
</Properties>
</file>