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B4F8" w14:textId="3984ED91" w:rsidR="0011473F" w:rsidRPr="00962F6B" w:rsidRDefault="007F3A74" w:rsidP="0011473F">
      <w:pPr>
        <w:adjustRightInd w:val="0"/>
        <w:snapToGrid w:val="0"/>
        <w:ind w:firstLine="560"/>
        <w:jc w:val="center"/>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一种基于稳定草稿与风险感知验证树的推测解码加速方法</w:t>
      </w:r>
    </w:p>
    <w:p w14:paraId="6CA990FE" w14:textId="77777777" w:rsidR="0011473F" w:rsidRPr="00962F6B" w:rsidRDefault="0011473F" w:rsidP="0011473F">
      <w:pPr>
        <w:adjustRightInd w:val="0"/>
        <w:snapToGrid w:val="0"/>
        <w:ind w:firstLine="560"/>
        <w:rPr>
          <w:rFonts w:ascii="楷体" w:eastAsia="楷体" w:hAnsi="楷体" w:hint="eastAsia"/>
          <w:color w:val="000000" w:themeColor="text1"/>
          <w:sz w:val="28"/>
          <w:szCs w:val="28"/>
        </w:rPr>
      </w:pPr>
    </w:p>
    <w:p w14:paraId="402C46B3" w14:textId="77777777" w:rsidR="0011473F" w:rsidRPr="00962F6B" w:rsidRDefault="0011473F" w:rsidP="0011473F">
      <w:pPr>
        <w:adjustRightInd w:val="0"/>
        <w:snapToGrid w:val="0"/>
        <w:ind w:firstLine="560"/>
        <w:rPr>
          <w:rFonts w:ascii="楷体" w:eastAsia="楷体" w:hAnsi="楷体" w:hint="eastAsia"/>
          <w:color w:val="000000" w:themeColor="text1"/>
          <w:sz w:val="28"/>
          <w:szCs w:val="28"/>
        </w:rPr>
      </w:pPr>
      <w:r w:rsidRPr="00962F6B">
        <w:rPr>
          <w:rFonts w:ascii="楷体" w:eastAsia="楷体" w:hAnsi="楷体"/>
          <w:color w:val="000000" w:themeColor="text1"/>
          <w:sz w:val="28"/>
          <w:szCs w:val="28"/>
        </w:rPr>
        <w:t>技术领域</w:t>
      </w:r>
    </w:p>
    <w:p w14:paraId="035A104E" w14:textId="2F128092" w:rsidR="006A3F32" w:rsidRPr="00962F6B" w:rsidRDefault="006A3F32" w:rsidP="006A3F32">
      <w:pPr>
        <w:adjustRightInd w:val="0"/>
        <w:snapToGrid w:val="0"/>
        <w:ind w:firstLine="560"/>
        <w:rPr>
          <w:rFonts w:eastAsia="楷体"/>
          <w:color w:val="000000" w:themeColor="text1"/>
          <w:sz w:val="28"/>
          <w:szCs w:val="28"/>
        </w:rPr>
      </w:pPr>
      <w:r w:rsidRPr="00962F6B">
        <w:rPr>
          <w:rFonts w:eastAsia="楷体" w:hint="eastAsia"/>
          <w:color w:val="000000" w:themeColor="text1"/>
          <w:sz w:val="28"/>
          <w:szCs w:val="28"/>
        </w:rPr>
        <w:t>本发明涉及自然语言处理与人工智能大模型底层加速技术领域，尤其涉及针对大语言模型多任务生成场景的推测解码加速及结构自适应调度方法，具体指一种基于稳定草稿与风险感知验证树的推测解码加速方法。</w:t>
      </w:r>
    </w:p>
    <w:p w14:paraId="2A50F426" w14:textId="77777777" w:rsidR="0011473F" w:rsidRPr="00962F6B" w:rsidRDefault="0011473F" w:rsidP="0011473F">
      <w:pPr>
        <w:adjustRightInd w:val="0"/>
        <w:snapToGrid w:val="0"/>
        <w:ind w:firstLine="560"/>
        <w:rPr>
          <w:rFonts w:ascii="楷体" w:eastAsia="楷体" w:hAnsi="楷体" w:hint="eastAsia"/>
          <w:color w:val="000000" w:themeColor="text1"/>
          <w:sz w:val="28"/>
          <w:szCs w:val="28"/>
        </w:rPr>
      </w:pPr>
    </w:p>
    <w:p w14:paraId="7EB31245" w14:textId="77777777" w:rsidR="0011473F" w:rsidRPr="00962F6B" w:rsidRDefault="0011473F" w:rsidP="0011473F">
      <w:pPr>
        <w:adjustRightInd w:val="0"/>
        <w:snapToGrid w:val="0"/>
        <w:ind w:firstLine="560"/>
        <w:rPr>
          <w:rFonts w:ascii="楷体" w:eastAsia="楷体" w:hAnsi="楷体" w:hint="eastAsia"/>
          <w:color w:val="000000" w:themeColor="text1"/>
          <w:sz w:val="28"/>
          <w:szCs w:val="28"/>
        </w:rPr>
      </w:pPr>
      <w:r w:rsidRPr="00962F6B">
        <w:rPr>
          <w:rFonts w:ascii="楷体" w:eastAsia="楷体" w:hAnsi="楷体"/>
          <w:color w:val="000000" w:themeColor="text1"/>
          <w:sz w:val="28"/>
          <w:szCs w:val="28"/>
        </w:rPr>
        <w:t>背景技术</w:t>
      </w:r>
    </w:p>
    <w:p w14:paraId="1BF46888" w14:textId="1FAF0E63" w:rsidR="007F3A74" w:rsidRPr="00962F6B" w:rsidRDefault="007F3A74" w:rsidP="007F3A74">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大语言模型（LLMs）凭借强大的语义理解与生成能力，已在自然语言处理、智能交互、代码生成、数学推理等多类场景中实现广泛部署，成为人工智能技术落地的核心载体。但大语言模型主流采用的自回归解码模式，需逐一生成token并完成前向计算，在生成长序列内容时，存在计算步骤繁琐、硬件算力利用率低、推理时延高等严重计算瓶颈，大幅限制了大语言模型在高实时性交互场景中的应用体验，因此，在保持模型输出无损的前提下提升解码效率，成为大语言模型底层加速技术领域的核心研究方向。</w:t>
      </w:r>
    </w:p>
    <w:p w14:paraId="0A5AEE6B" w14:textId="1BAF530B" w:rsidR="007F3A74" w:rsidRPr="00962F6B" w:rsidRDefault="007F3A74" w:rsidP="007F3A74">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推测解码作为一种高效的大模型推理加速方法，为解决自回归解码的计算瓶颈提供了核心思路，其核心机制是引入轻量级的草稿模型，由草稿模型针对输入上下文预先生成一段候选序列，再由目标大语言模型对该候选序列执行一次前向并行验证，最终通过接受最长匹配前缀的方式，减少目标大模型逐token前向计算的次数，从而在不改变模型输出分布保真度的前提下，提升整体解码效率。该技术因兼顾加速效果与输出无损性，成为当前大语言模型推理加速的主流技术方案之一。</w:t>
      </w:r>
    </w:p>
    <w:p w14:paraId="5D793D82" w14:textId="77777777" w:rsidR="007F3A74" w:rsidRPr="00962F6B" w:rsidRDefault="007F3A74" w:rsidP="007F3A74">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然而，现有推测解码技术在系统层面的实际加速收益，仍面临两类深层且亟待解决的制约因素，导致其端到端加速效果不稳定、算力利用率难以进一步提升，无法满足大语言模型多任务生成场景的实际应用需求：</w:t>
      </w:r>
    </w:p>
    <w:p w14:paraId="0F399EBD" w14:textId="77777777" w:rsidR="007F3A74" w:rsidRPr="00962F6B" w:rsidRDefault="007F3A74" w:rsidP="007F3A74">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第一类制约因素来自草稿模型侧的局部预测不稳定性，现有推测解码方</w:t>
      </w:r>
      <w:r w:rsidRPr="00962F6B">
        <w:rPr>
          <w:rFonts w:ascii="楷体" w:eastAsia="楷体" w:hAnsi="楷体" w:hint="eastAsia"/>
          <w:color w:val="000000" w:themeColor="text1"/>
          <w:sz w:val="28"/>
          <w:szCs w:val="28"/>
        </w:rPr>
        <w:lastRenderedPageBreak/>
        <w:t>案中的单层草稿块缺乏对窗口内特征表示一致性的直接建模能力，仅能实现逐位置的特征变换，导致草稿模型生成的候选序列易出现局部误差聚集的现象，其输出的置信度信号抖动剧烈。该问题直接造成目标大模型对候选序列的单轮可接受长度被局部高频扰动严重缩短，大量候选片段因局部误差被拒绝，不仅浪费了草稿模型的计算开销，还大幅降低了整体推测解码的效率，成为限制加速收益的核心内因。</w:t>
      </w:r>
    </w:p>
    <w:p w14:paraId="308B6B76" w14:textId="2B3B0AF7" w:rsidR="007F3A74" w:rsidRPr="00962F6B" w:rsidRDefault="007F3A74" w:rsidP="007F3A74">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第二类制约因素来自草稿树结构配置的僵化性，现有多候选验证方案为提高单轮候选序列的提交上限，将候选标记组织为树状结构进行扩展与验证，但实际实现中往往依赖固定的深度配置参数完成草稿树的构建。由于大语言模型的输入文本存在显著的上下文风险差异，不同输入（如低复杂度的日常对话、高复杂度的逻辑推理）对应的候选序列被拒绝的概率截然不同，固定深度的配置策略无法适配该差异：在面临高风险输入时，固定的大深度会引发大量无效的深层分支扩展，造成验证算力的严重浪费；在面临低风险输入时，固定的小深度又因扩展不足限制了并行提交的潜力，无法充分挖掘硬件算力。这种“高风险时算力浪费、低风险时潜力未释放”的问题，导致推测解码的端到端加速收益在不同任务、不同输入场景下表现出极强的不稳定性，成为其产业化落地的关键障碍。</w:t>
      </w:r>
    </w:p>
    <w:p w14:paraId="41100214" w14:textId="6FA66D8C" w:rsidR="00EB0637" w:rsidRPr="00962F6B" w:rsidRDefault="007F3A74" w:rsidP="007F3A74">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综上，如何在不改变目标大模型原有验证接受规则、保证输出无损的前提下，从模型内部特征层面提升草稿模型候选序列的局部一致性，解决局部误差聚集的问题；同时从系统工程层面实现由输入上下文风险驱动的草稿树结构自适应配置，解决固定深度配置的算力分配悖论，成为大模型推测解码加速领域亟待解决的关键技术挑战，也是本发明的核心研究出发点。</w:t>
      </w:r>
    </w:p>
    <w:p w14:paraId="1E2CA28B" w14:textId="77777777" w:rsidR="0011473F" w:rsidRPr="00962F6B" w:rsidRDefault="0011473F" w:rsidP="009D258D">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发明内容</w:t>
      </w:r>
    </w:p>
    <w:p w14:paraId="0E2990D7"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本发明的目的在于解决现有大语言模型推测解码技术中草稿模型局部预测不稳定、验证树结构配置僵化导致加速效果差且收益不稳定的技术问题，提供一种基于稳定草稿与风险感知验证树的推测解码加速方法，通过特征增</w:t>
      </w:r>
      <w:r w:rsidRPr="00962F6B">
        <w:rPr>
          <w:rFonts w:eastAsia="楷体" w:hint="eastAsia"/>
          <w:color w:val="000000" w:themeColor="text1"/>
          <w:sz w:val="28"/>
          <w:szCs w:val="28"/>
        </w:rPr>
        <w:lastRenderedPageBreak/>
        <w:t>强型草稿模型的构建实现候选序列局部一致性的提升，结合输入风险驱动的验证树动态配置实现算力的高效分配，在保证目标大语言模型输出无损的前提下，显著提升多任务生成场景下端到端的推理加速效率，且工程落地兼容性高，可适配不同规模的大语言模型。</w:t>
      </w:r>
    </w:p>
    <w:p w14:paraId="6BA64F23"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为实现上述发明目的，本发明采用的核心技术方案为：一种基于稳定草稿与风险感知验证树的推测解码加速方法，利用窗口级特征混合机制增强草稿模型的局部特征表示一致性，结合离线风险标定与在线动态查询实现验证树结构的风险自适应配置，再通过带分支约束的验证树生成与分支隔离的并行验证，完成大语言模型的推测解码加速，整个方法在不改变目标大语言模型原有并行验证接口和无损接受规则的基础上实施，具体包括以下四个核心步骤：</w:t>
      </w:r>
    </w:p>
    <w:p w14:paraId="6636D30B"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第一步，构建特征增强型草稿模型：在初始草稿模型中引入窗口级特征混合机制，先提取目标大语言模型预填充阶段的语义特征作为该特征增强型草稿模型的输入，再通过窗口级特征混合机制对局部特征表示进行一致性增强处理，从模型底层提升特征表示的连续性与跨轮语义一致性，最终输出具备高局部一致性的候选特征表示，从源头上阻断草稿模型候选序列的拒绝片段聚集现象，平滑置信度信号，提升单轮候选序列的可接受长度。</w:t>
      </w:r>
    </w:p>
    <w:p w14:paraId="604B4B66"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第二步，构建风险感知的验证树动态配置映射表：基于训练数据集执行推测解码轨迹的全量采集，提取过程中草稿侧的风险观测特征与验证首错特征，通过量化计算得到不同风险特征区间对应的即时验证风险概率；结合预设的验证算力预算，为每个风险特征区间求解出匹配的验证树最优结构配置参数，最终将风险特征与验证树结构配置参数的对应关系固化，生成可直接查询的映射表，实现复杂树结构决策的离线解耦，为在线推理的高效配置提供基础。</w:t>
      </w:r>
    </w:p>
    <w:p w14:paraId="4398724E"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第三步，执行在线推理的验证树动态结构配置：在大语言模型实际推理阶段，实时提取当前轮次特征增强型草稿模型输出的实时风险观测特征，通</w:t>
      </w:r>
      <w:r w:rsidRPr="00962F6B">
        <w:rPr>
          <w:rFonts w:eastAsia="楷体" w:hint="eastAsia"/>
          <w:color w:val="000000" w:themeColor="text1"/>
          <w:sz w:val="28"/>
          <w:szCs w:val="28"/>
        </w:rPr>
        <w:lastRenderedPageBreak/>
        <w:t>过查询第二步预先构建的映射表，快速获取与当前输入风险相匹配的验证树结构配置参数，该过程仅需常数时间完成特征计算与索引查询，无额外寻优迭代开销，可根据输入风险的差异实现验证树结构参数的自适应调整，解决固定参数配置的算力分配悖论。</w:t>
      </w:r>
    </w:p>
    <w:p w14:paraId="4A65E38A"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第四步，生成风险感知验证树并执行并行验证：依据在线查询得到的验证树结构配置参数，由特征增强型草稿模型生成带分支约束的验证树，避免低置信度分支的无效扩展；对验证树中的所有候选节点进行一维序列展开，同时构造分支隔离的注意力掩码，阻断不同候选分支间的语义交叉污染；将一维展开序列输入目标大语言模型，由目标大语言模型执行单次前向并行验证，最终按照无损接受规则提交最长可接受前缀，完成单轮推测解码，更新上下文状态后进入下一轮推理循环。</w:t>
      </w:r>
    </w:p>
    <w:p w14:paraId="41D710BB"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本发明对上述核心技术方案进行了进一步的优化和限定，形成了一系列优选的技术方案：</w:t>
      </w:r>
    </w:p>
    <w:p w14:paraId="72A9A97A"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作为优选，目标大语言模型预填充阶段的语义特征具体为目标大语言模型预填充阶段的高层隐藏状态与输入嵌入，将二者沿特征维度拼接后作为特征增强型草稿模型的输入特征；窗口级特征混合机制具体通过在初始草稿模型的单层前馈网络后接入门控混合模块实现，该门控混合模块对草稿模型中间特征表示执行局部窗口内的特征混合操作得到过滤特征，再将草稿模型的初始输入特征、前馈网络输出的中间特征表示与过滤特征进行残差相加，得到草稿模型的最终输出特征，实现局部特征的混合增强。</w:t>
      </w:r>
    </w:p>
    <w:p w14:paraId="71D79B76"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作为优选，构建特征增强型草稿模型时，还引入语义条件自适应归一化机制：利用目标大语言模型预填充阶段生成的全局语义向量，通过可学习映射转换得到归一化参数偏移量，将该偏移量作用于草稿模型的中间特征表示，为草稿表示提供跨轮一致的语义条件约束，有效减少特征漂移对拒绝概率的累积影响，进一步提升草稿模型的预测稳定性。</w:t>
      </w:r>
    </w:p>
    <w:p w14:paraId="7773FEAA"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lastRenderedPageBreak/>
        <w:t>作为优选，特征增强型草稿模型的训练损失函数采用分布对齐损失与频域加权重构损失的联合损失形式：分布对齐损失以目标大语言模型的输出为教师信号，采用交叉熵损失计算，保证草稿模型输出分布与目标模型的一致性；频域加权重构损失通过对草稿侧特征做空间映射、一维小波变换后划分为高频系数集合与低频系数集合，并为低频系数设置更高的惩罚权重，引导草稿模型在训练阶段聚焦语义主干特征，弱化高频扰动对置信度的影响。</w:t>
      </w:r>
    </w:p>
    <w:p w14:paraId="37FDC941"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作为优选，草稿侧的风险观测特征为三维观测特征向量，具体包括当前轮次草稿模型输出分布的最大对数几率、当前轮次草稿模型输出分布的信息熵以及历史接受长度的指数滑动平均值，从分布尖锐程度、分布不确定性、跨轮平滑记忆三个维度实现对输入风险的量化表征；验证首错特征为首次拒绝位置对应的首错时间，即目标大语言模型对候选标记的二值接受变量取拒绝值时的最小序列索引位置，即时验证风险概率为在之前候选标记均未被拒绝的条件下，当前步候选标记发生首次拒绝的条件概率，实现对不同输入上下文拒绝风险的精准量化。</w:t>
      </w:r>
    </w:p>
    <w:p w14:paraId="1E1E8214"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作为优选，验证树结构配置参数具体包括验证树最大扩展深度与一维验证展开上限，结合验证算力预算求解最优结构配置参数时，采用风险差异化的配置策略：在高风险区间配置更小的最大扩展深度与适配的一维验证展开上限，及时截断早拒绝上下文下的无效扩展，避免算力浪费；在低风险区间配置更大的最大扩展深度与适配的一维验证展开上限，充分挖掘硬件算力，提升单轮可接受长度的上限边界。</w:t>
      </w:r>
    </w:p>
    <w:p w14:paraId="13710D57"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t>作为优选，带分支约束的验证树通过动态置信度阈值实现分支扩展的精准控制：预设随验证树层级深度动态变化的置信度阈值，对草稿树中的任意候选节点，计算其在草稿模型输出分布下的最大概率值，仅当该最大概率值大于或等于其所在层级对应的置信度阈值时，才允许该候选节点向下派生下一层级分支，否则直接截断该探索分支，有效收敛树的横向宽度，减少无效候选节点的生成。</w:t>
      </w:r>
    </w:p>
    <w:p w14:paraId="73196E70" w14:textId="77777777" w:rsidR="005656B5" w:rsidRPr="00962F6B" w:rsidRDefault="005656B5" w:rsidP="005656B5">
      <w:pPr>
        <w:widowControl/>
        <w:adjustRightInd w:val="0"/>
        <w:snapToGrid w:val="0"/>
        <w:ind w:firstLine="560"/>
        <w:rPr>
          <w:rFonts w:eastAsia="楷体" w:hint="eastAsia"/>
          <w:color w:val="000000" w:themeColor="text1"/>
          <w:sz w:val="28"/>
          <w:szCs w:val="28"/>
        </w:rPr>
      </w:pPr>
      <w:r w:rsidRPr="00962F6B">
        <w:rPr>
          <w:rFonts w:eastAsia="楷体" w:hint="eastAsia"/>
          <w:color w:val="000000" w:themeColor="text1"/>
          <w:sz w:val="28"/>
          <w:szCs w:val="28"/>
        </w:rPr>
        <w:lastRenderedPageBreak/>
        <w:t>作为优选，对验证树候选节点进行一维序列展开时，先对验证树中所有候选节点进行全局重排，再选取数量不超过一维验证展开上限的节点集合，按重排结果展开为一维序列，保证验证序列的有效性；分支隔离的注意力掩码为基于验证树分支拓扑结构的下三角掩码矩阵变体，该掩码使一维展开序列中的任意节点，在目标大语言模型前向验证计算中仅能单向索引到自身生成路径上的祖先节点及自身，从掩码层面阻断不同候选分支间的语义交叉污染，保证验证计算的语义纯净性。</w:t>
      </w:r>
    </w:p>
    <w:p w14:paraId="61249D34" w14:textId="77777777" w:rsidR="005656B5" w:rsidRPr="00962F6B" w:rsidRDefault="005656B5" w:rsidP="005656B5">
      <w:pPr>
        <w:widowControl/>
        <w:adjustRightInd w:val="0"/>
        <w:snapToGrid w:val="0"/>
        <w:ind w:firstLine="560"/>
        <w:rPr>
          <w:rFonts w:eastAsia="楷体"/>
          <w:color w:val="000000" w:themeColor="text1"/>
          <w:sz w:val="28"/>
          <w:szCs w:val="28"/>
        </w:rPr>
      </w:pPr>
      <w:r w:rsidRPr="00962F6B">
        <w:rPr>
          <w:rFonts w:eastAsia="楷体" w:hint="eastAsia"/>
          <w:color w:val="000000" w:themeColor="text1"/>
          <w:sz w:val="28"/>
          <w:szCs w:val="28"/>
        </w:rPr>
        <w:t>作为优选，无损接受规则具体为：目标大语言模型对一维展开序列执行单次前向并行验证后，提取各候选路径前缀的目标分布，匹配并提交与目标大语言模型自回归生成结果完全一致的最长序列前缀，确保本发明的加速方法在提升推理效率的同时，完全保持目标大语言模型的输出分布保真度，实现无损加速。</w:t>
      </w:r>
    </w:p>
    <w:p w14:paraId="2DF9C97C" w14:textId="651491A7" w:rsidR="00027745" w:rsidRPr="00962F6B" w:rsidRDefault="00027745" w:rsidP="005656B5">
      <w:pPr>
        <w:widowControl/>
        <w:adjustRightInd w:val="0"/>
        <w:snapToGrid w:val="0"/>
        <w:ind w:firstLine="560"/>
        <w:rPr>
          <w:rFonts w:ascii="楷体" w:eastAsia="楷体" w:hAnsi="楷体" w:cs="楷体" w:hint="eastAsia"/>
          <w:color w:val="000000" w:themeColor="text1"/>
          <w:sz w:val="28"/>
        </w:rPr>
      </w:pPr>
      <w:r w:rsidRPr="00962F6B">
        <w:rPr>
          <w:rFonts w:ascii="楷体" w:eastAsia="楷体" w:hAnsi="楷体" w:cs="楷体" w:hint="eastAsia"/>
          <w:color w:val="000000" w:themeColor="text1"/>
          <w:sz w:val="28"/>
        </w:rPr>
        <w:t>本发明具有以下的特点和有益效果：</w:t>
      </w:r>
    </w:p>
    <w:p w14:paraId="6D7CC14D" w14:textId="77777777" w:rsidR="005656B5" w:rsidRPr="00962F6B" w:rsidRDefault="005656B5" w:rsidP="005656B5">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本发明通过构建特征增强型草稿模型，首次在草稿阶段引入窗口级特征混合机制，并结合语义条件自适应归一化机制，从模型底层增强了窗口内特征表示的连续性与跨轮语义一致性，有效解决了现有草稿模型局部预测不稳定、拒绝片段聚集的问题，平滑了置信度曲线，使草稿模型能够稳定输出更长的连续可接受前缀，为提升加速效率奠定了核心基础。</w:t>
      </w:r>
    </w:p>
    <w:p w14:paraId="66108681" w14:textId="77777777" w:rsidR="005656B5" w:rsidRPr="00962F6B" w:rsidRDefault="005656B5" w:rsidP="005656B5">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本发明设计了风险感知的验证树动态配置架构，将复杂的树结构决策解耦为离线风险标定与在线查表两个部分，在线推理阶段仅需常数时间即可完成特征计算与参数查询，实现了输入风险驱动的验证树结构自适应配置；该架构在高风险区域及时截断无效扩展，在低风险区域充分展开提升并行度，巧妙解决了高维验证空间中的算力分配悖论，极大改善了验证覆盖率与算力开销之间的权衡，解决了现有技术固定深度配置导致加速收益不稳定的问题。</w:t>
      </w:r>
    </w:p>
    <w:p w14:paraId="2304F37C" w14:textId="5F97438C" w:rsidR="005656B5" w:rsidRPr="00962F6B" w:rsidRDefault="005656B5" w:rsidP="005656B5">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本发明的技术方案在系统层面完全保持了目标大语言模型原有的并行验证接口和严格的无损接受规则，工程落地兼容性高，无需对目标大语言模型</w:t>
      </w:r>
      <w:r w:rsidRPr="00962F6B">
        <w:rPr>
          <w:rFonts w:ascii="楷体" w:eastAsia="楷体" w:hAnsi="楷体" w:hint="eastAsia"/>
          <w:color w:val="000000" w:themeColor="text1"/>
          <w:sz w:val="28"/>
          <w:szCs w:val="28"/>
        </w:rPr>
        <w:lastRenderedPageBreak/>
        <w:t>进行修改；实验验证表明，本方法在LLaMA2、LLaMA3等不同规模的开源大语言模型上，针对指令跟随、数学推理、代码生成、多轮对话等多类典型生成场景，均实现了稳定超越现有基线算法的端到端加速比，在保证输出无损的前提下显著提升了推理效率，具有极高的产业化应用价值。</w:t>
      </w:r>
    </w:p>
    <w:p w14:paraId="62B36892" w14:textId="0FFD8FC0" w:rsidR="0011473F" w:rsidRPr="00962F6B" w:rsidRDefault="005656B5" w:rsidP="005656B5">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综上，本发明的技术方案从草稿模型优化与验证树动态配置两个核心维度，针对性解决了现有推测解码技术的两大深层技术缺陷，实现了大语言模型推测解码的稳定、高效、无损加速，适用于各类大语言模型的多任务生成推理场景，具备广泛的应用前景。</w:t>
      </w:r>
    </w:p>
    <w:p w14:paraId="17BF90AB" w14:textId="77777777" w:rsidR="0011473F" w:rsidRPr="00962F6B" w:rsidRDefault="0011473F" w:rsidP="00D16825">
      <w:pPr>
        <w:adjustRightInd w:val="0"/>
        <w:snapToGrid w:val="0"/>
        <w:ind w:firstLine="560"/>
        <w:rPr>
          <w:color w:val="000000" w:themeColor="text1"/>
          <w:sz w:val="28"/>
          <w:szCs w:val="28"/>
        </w:rPr>
      </w:pPr>
    </w:p>
    <w:p w14:paraId="2B1DAB9E" w14:textId="77777777" w:rsidR="0011473F" w:rsidRPr="00962F6B" w:rsidRDefault="0011473F" w:rsidP="00D16825">
      <w:pPr>
        <w:adjustRightInd w:val="0"/>
        <w:snapToGrid w:val="0"/>
        <w:ind w:firstLine="560"/>
        <w:jc w:val="left"/>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附图说明</w:t>
      </w:r>
    </w:p>
    <w:p w14:paraId="6D488335" w14:textId="77777777" w:rsidR="005656B5" w:rsidRPr="00962F6B" w:rsidRDefault="005656B5" w:rsidP="005656B5">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图1为草稿模型架构及门控混合机制的模块联动流程图。</w:t>
      </w:r>
    </w:p>
    <w:p w14:paraId="11DE8829" w14:textId="77777777" w:rsidR="005656B5" w:rsidRPr="00962F6B" w:rsidRDefault="005656B5" w:rsidP="005656B5">
      <w:pPr>
        <w:adjustRightInd w:val="0"/>
        <w:snapToGrid w:val="0"/>
        <w:ind w:firstLine="560"/>
        <w:rPr>
          <w:rFonts w:ascii="楷体" w:eastAsia="楷体" w:hAnsi="楷体" w:hint="eastAsia"/>
          <w:color w:val="000000" w:themeColor="text1"/>
          <w:sz w:val="28"/>
          <w:szCs w:val="28"/>
        </w:rPr>
      </w:pPr>
      <w:commentRangeStart w:id="0"/>
      <w:r w:rsidRPr="00962F6B">
        <w:rPr>
          <w:rFonts w:ascii="楷体" w:eastAsia="楷体" w:hAnsi="楷体" w:hint="eastAsia"/>
          <w:color w:val="000000" w:themeColor="text1"/>
          <w:sz w:val="28"/>
          <w:szCs w:val="28"/>
        </w:rPr>
        <w:t>图2为离线风险标定与在线结构动态配置的阶段流程图。</w:t>
      </w:r>
    </w:p>
    <w:p w14:paraId="1D337218" w14:textId="07804A0D" w:rsidR="0011473F" w:rsidRPr="00962F6B" w:rsidRDefault="005656B5" w:rsidP="005656B5">
      <w:pPr>
        <w:adjustRightInd w:val="0"/>
        <w:snapToGrid w:val="0"/>
        <w:ind w:firstLine="560"/>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图3为风险感知草稿树生成与一维并行验证展开示意图</w:t>
      </w:r>
      <w:r w:rsidR="00F853F3" w:rsidRPr="00962F6B">
        <w:rPr>
          <w:rFonts w:ascii="楷体" w:eastAsia="楷体" w:hAnsi="楷体" w:hint="eastAsia"/>
          <w:color w:val="000000" w:themeColor="text1"/>
          <w:sz w:val="28"/>
          <w:szCs w:val="28"/>
        </w:rPr>
        <w:t>。</w:t>
      </w:r>
      <w:commentRangeEnd w:id="0"/>
      <w:r w:rsidR="000F308A" w:rsidRPr="00962F6B">
        <w:rPr>
          <w:rStyle w:val="af2"/>
          <w:rFonts w:ascii="楷体" w:eastAsia="楷体" w:hAnsi="楷体" w:hint="eastAsia"/>
          <w:color w:val="000000" w:themeColor="text1"/>
          <w:sz w:val="28"/>
          <w:szCs w:val="28"/>
        </w:rPr>
        <w:commentReference w:id="0"/>
      </w:r>
    </w:p>
    <w:p w14:paraId="59ACBCA3" w14:textId="77777777" w:rsidR="0011473F" w:rsidRPr="00962F6B" w:rsidRDefault="0011473F" w:rsidP="00F853F3">
      <w:pPr>
        <w:adjustRightInd w:val="0"/>
        <w:snapToGrid w:val="0"/>
        <w:ind w:firstLine="560"/>
        <w:jc w:val="left"/>
        <w:rPr>
          <w:rFonts w:ascii="楷体" w:eastAsia="楷体" w:hAnsi="楷体" w:hint="eastAsia"/>
          <w:color w:val="000000" w:themeColor="text1"/>
          <w:sz w:val="28"/>
          <w:szCs w:val="28"/>
        </w:rPr>
      </w:pPr>
    </w:p>
    <w:p w14:paraId="52CDA2B7" w14:textId="77777777" w:rsidR="0011473F" w:rsidRPr="00962F6B" w:rsidRDefault="0011473F" w:rsidP="00C0185A">
      <w:pPr>
        <w:adjustRightInd w:val="0"/>
        <w:snapToGrid w:val="0"/>
        <w:ind w:firstLine="560"/>
        <w:jc w:val="left"/>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具体实施方式</w:t>
      </w:r>
    </w:p>
    <w:p w14:paraId="35E816BB" w14:textId="77777777" w:rsidR="00913A73" w:rsidRPr="00962F6B" w:rsidRDefault="00EB1301" w:rsidP="00C0185A">
      <w:pPr>
        <w:adjustRightInd w:val="0"/>
        <w:snapToGrid w:val="0"/>
        <w:ind w:firstLine="560"/>
        <w:jc w:val="left"/>
        <w:rPr>
          <w:rFonts w:ascii="楷体" w:eastAsia="楷体" w:hAnsi="楷体" w:cs="楷体" w:hint="eastAsia"/>
          <w:color w:val="000000" w:themeColor="text1"/>
          <w:sz w:val="28"/>
          <w:szCs w:val="28"/>
        </w:rPr>
      </w:pPr>
      <w:r w:rsidRPr="00962F6B">
        <w:rPr>
          <w:rFonts w:ascii="楷体" w:eastAsia="楷体" w:hAnsi="楷体" w:cs="楷体"/>
          <w:color w:val="000000" w:themeColor="text1"/>
          <w:sz w:val="28"/>
          <w:szCs w:val="28"/>
        </w:rPr>
        <w:t>下面结合具体实施例</w:t>
      </w:r>
      <w:r w:rsidRPr="00962F6B">
        <w:rPr>
          <w:rFonts w:ascii="楷体" w:eastAsia="楷体" w:hAnsi="楷体" w:cs="楷体" w:hint="eastAsia"/>
          <w:color w:val="000000" w:themeColor="text1"/>
          <w:sz w:val="28"/>
          <w:szCs w:val="28"/>
        </w:rPr>
        <w:t>对本发明进行</w:t>
      </w:r>
      <w:r w:rsidRPr="00962F6B">
        <w:rPr>
          <w:rFonts w:ascii="楷体" w:eastAsia="楷体" w:hAnsi="楷体" w:cs="楷体"/>
          <w:color w:val="000000" w:themeColor="text1"/>
          <w:sz w:val="28"/>
          <w:szCs w:val="28"/>
        </w:rPr>
        <w:t>详细</w:t>
      </w:r>
      <w:r w:rsidRPr="00962F6B">
        <w:rPr>
          <w:rFonts w:ascii="楷体" w:eastAsia="楷体" w:hAnsi="楷体" w:cs="楷体" w:hint="eastAsia"/>
          <w:color w:val="000000" w:themeColor="text1"/>
          <w:sz w:val="28"/>
          <w:szCs w:val="28"/>
        </w:rPr>
        <w:t>说明。以下实施例将有助于本领域的技术人员进一步理解本发明，但不以任何形式限制本发明。</w:t>
      </w:r>
      <w:r w:rsidR="00913A73" w:rsidRPr="00962F6B">
        <w:rPr>
          <w:rFonts w:ascii="楷体" w:eastAsia="楷体" w:hAnsi="楷体" w:cs="楷体" w:hint="eastAsia"/>
          <w:color w:val="000000" w:themeColor="text1"/>
          <w:sz w:val="28"/>
          <w:szCs w:val="28"/>
        </w:rPr>
        <w:t>需要说明的是，在不冲突的情况下，本发明中的实施例及实施例中的特征可以相互组合。</w:t>
      </w:r>
    </w:p>
    <w:p w14:paraId="23BCCC04" w14:textId="6EAB393A" w:rsidR="004C75EC" w:rsidRPr="00962F6B" w:rsidRDefault="00962F6B" w:rsidP="00C0185A">
      <w:pPr>
        <w:adjustRightInd w:val="0"/>
        <w:snapToGrid w:val="0"/>
        <w:ind w:firstLine="560"/>
        <w:jc w:val="left"/>
        <w:rPr>
          <w:rFonts w:ascii="楷体" w:eastAsia="楷体" w:hAnsi="楷体" w:hint="eastAsia"/>
          <w:color w:val="000000" w:themeColor="text1"/>
          <w:sz w:val="28"/>
          <w:szCs w:val="28"/>
        </w:rPr>
      </w:pPr>
      <w:r w:rsidRPr="00962F6B">
        <w:rPr>
          <w:rFonts w:ascii="楷体" w:eastAsia="楷体" w:hAnsi="楷体" w:hint="eastAsia"/>
          <w:color w:val="000000" w:themeColor="text1"/>
          <w:sz w:val="28"/>
          <w:szCs w:val="28"/>
        </w:rPr>
        <w:t>一种基于稳定草稿与风险感知验证树的推测解码加速方法</w:t>
      </w:r>
      <w:r w:rsidRPr="00962F6B">
        <w:rPr>
          <w:rFonts w:ascii="楷体" w:eastAsia="楷体" w:hAnsi="楷体" w:hint="eastAsia"/>
          <w:color w:val="000000" w:themeColor="text1"/>
          <w:sz w:val="28"/>
          <w:szCs w:val="28"/>
        </w:rPr>
        <w:t>，</w:t>
      </w:r>
      <w:r w:rsidR="004C75EC" w:rsidRPr="00962F6B">
        <w:rPr>
          <w:rFonts w:ascii="楷体" w:eastAsia="楷体" w:hAnsi="楷体"/>
          <w:color w:val="000000" w:themeColor="text1"/>
          <w:sz w:val="28"/>
          <w:szCs w:val="28"/>
        </w:rPr>
        <w:t>包括如下步骤：</w:t>
      </w:r>
    </w:p>
    <w:p w14:paraId="66C4D0B0" w14:textId="49073E35"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步骤1：构建特征增强型草稿模型</w:t>
      </w:r>
    </w:p>
    <w:p w14:paraId="2786EDD2" w14:textId="01C9211C" w:rsidR="00962F6B" w:rsidRPr="00962F6B" w:rsidRDefault="00B05C4C" w:rsidP="00962F6B">
      <w:pPr>
        <w:adjustRightInd w:val="0"/>
        <w:snapToGrid w:val="0"/>
        <w:ind w:firstLine="560"/>
        <w:jc w:val="left"/>
        <w:rPr>
          <w:rFonts w:ascii="楷体" w:eastAsia="楷体" w:hAnsi="楷体"/>
          <w:color w:val="000000" w:themeColor="text1"/>
          <w:sz w:val="28"/>
          <w:szCs w:val="28"/>
        </w:rPr>
      </w:pPr>
      <w:r>
        <w:rPr>
          <w:rFonts w:ascii="楷体" w:eastAsia="楷体" w:hAnsi="楷体"/>
          <w:color w:val="000000" w:themeColor="text1"/>
          <w:sz w:val="28"/>
          <w:szCs w:val="28"/>
        </w:rPr>
        <w:t>本实施例</w:t>
      </w:r>
      <w:r w:rsidR="00962F6B" w:rsidRPr="00962F6B">
        <w:rPr>
          <w:rFonts w:ascii="楷体" w:eastAsia="楷体" w:hAnsi="楷体"/>
          <w:color w:val="000000" w:themeColor="text1"/>
          <w:sz w:val="28"/>
          <w:szCs w:val="28"/>
        </w:rPr>
        <w:t>通过在初始草稿模型中引入窗口级特征混合机制，结合语义条件自适应归一化机制实现草稿模型的特征增强，提取目标大语言模型预填充阶段的语义特征作为输入，输出具备高局部一致性的候选特征表示，</w:t>
      </w:r>
      <w:r w:rsidR="0099088A" w:rsidRPr="00962F6B">
        <w:rPr>
          <w:rFonts w:ascii="楷体" w:eastAsia="楷体" w:hAnsi="楷体" w:hint="eastAsia"/>
          <w:color w:val="000000" w:themeColor="text1"/>
          <w:sz w:val="28"/>
          <w:szCs w:val="28"/>
        </w:rPr>
        <w:t>如图1所示</w:t>
      </w:r>
      <w:r w:rsidR="00962F6B" w:rsidRPr="00962F6B">
        <w:rPr>
          <w:rFonts w:ascii="楷体" w:eastAsia="楷体" w:hAnsi="楷体"/>
          <w:color w:val="000000" w:themeColor="text1"/>
          <w:sz w:val="28"/>
          <w:szCs w:val="28"/>
        </w:rPr>
        <w:t>具体分为三个子步骤：</w:t>
      </w:r>
    </w:p>
    <w:p w14:paraId="7E5E4AC1" w14:textId="35EA43C2"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1.1预填充语义特征提取与拼接</w:t>
      </w:r>
    </w:p>
    <w:p w14:paraId="0266DA88" w14:textId="2088F909"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lastRenderedPageBreak/>
        <w:t>对输入前缀执行目标大语言模型的预填充计算，提取预填充阶段的高层隐藏状态</w:t>
      </w:r>
      <m:oMath>
        <m:r>
          <w:rPr>
            <w:rFonts w:ascii="Cambria Math" w:eastAsia="楷体" w:hAnsi="Cambria Math"/>
            <w:color w:val="000000" w:themeColor="text1"/>
            <w:sz w:val="28"/>
            <w:szCs w:val="28"/>
          </w:rPr>
          <m:t>H</m:t>
        </m:r>
      </m:oMath>
      <w:r w:rsidRPr="00962F6B">
        <w:rPr>
          <w:rFonts w:ascii="楷体" w:eastAsia="楷体" w:hAnsi="楷体"/>
          <w:color w:val="000000" w:themeColor="text1"/>
          <w:sz w:val="28"/>
          <w:szCs w:val="28"/>
        </w:rPr>
        <w:t>与输入嵌入</w:t>
      </w:r>
      <m:oMath>
        <m:r>
          <w:rPr>
            <w:rFonts w:ascii="Cambria Math" w:eastAsia="楷体" w:hAnsi="Cambria Math"/>
            <w:color w:val="000000" w:themeColor="text1"/>
            <w:sz w:val="28"/>
            <w:szCs w:val="28"/>
          </w:rPr>
          <m:t>E</m:t>
        </m:r>
      </m:oMath>
      <w:r w:rsidRPr="00962F6B">
        <w:rPr>
          <w:rFonts w:ascii="楷体" w:eastAsia="楷体" w:hAnsi="楷体"/>
          <w:color w:val="000000" w:themeColor="text1"/>
          <w:sz w:val="28"/>
          <w:szCs w:val="28"/>
        </w:rPr>
        <w:t>作为核心语义特征，将二者沿特征维度进行拼接，得到特征增强型草稿模型的初始输入特征</w:t>
      </w:r>
      <m:oMath>
        <m:r>
          <w:rPr>
            <w:rFonts w:ascii="Cambria Math" w:eastAsia="楷体" w:hAnsi="Cambria Math"/>
            <w:color w:val="000000" w:themeColor="text1"/>
            <w:sz w:val="28"/>
            <w:szCs w:val="28"/>
          </w:rPr>
          <m:t>X=Concat(H,E)</m:t>
        </m:r>
      </m:oMath>
      <w:r w:rsidRPr="00962F6B">
        <w:rPr>
          <w:rFonts w:ascii="楷体" w:eastAsia="楷体" w:hAnsi="楷体"/>
          <w:color w:val="000000" w:themeColor="text1"/>
          <w:sz w:val="28"/>
          <w:szCs w:val="28"/>
        </w:rPr>
        <w:t>，该输入特征融合了目标大语言模型的高层语义信息与原始输入嵌入信息，为草稿模型的特征增强奠定基础。</w:t>
      </w:r>
    </w:p>
    <w:p w14:paraId="3EDA562B" w14:textId="77362E68"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1.2窗口级特征混合机制的引入与实现</w:t>
      </w:r>
    </w:p>
    <w:p w14:paraId="59288364"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针对初始草稿模型单层前馈块逐位置变换导致的局部窗口内一致性缺失问题，在初始草稿模型的单层前馈网络后接入门控混合模块（MGM）实现窗口级特征混合，具体计算过程为：</w:t>
      </w:r>
    </w:p>
    <w:p w14:paraId="02458706" w14:textId="03E62C37" w:rsidR="00962F6B" w:rsidRPr="00962F6B" w:rsidRDefault="00962F6B" w:rsidP="00DB3D96">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首先执行初始草稿模型单层前馈块的基础计算：</w:t>
      </w:r>
      <m:oMath>
        <m:r>
          <w:rPr>
            <w:rFonts w:ascii="Cambria Math" w:eastAsia="楷体" w:hAnsi="Cambria Math"/>
            <w:color w:val="000000" w:themeColor="text1"/>
            <w:sz w:val="28"/>
            <w:szCs w:val="28"/>
          </w:rPr>
          <m:t>x=x+SA</m:t>
        </m:r>
        <m:d>
          <m:dPr>
            <m:ctrlPr>
              <w:rPr>
                <w:rFonts w:ascii="Cambria Math" w:eastAsia="楷体" w:hAnsi="Cambria Math"/>
                <w:i/>
                <w:color w:val="000000" w:themeColor="text1"/>
                <w:sz w:val="28"/>
                <w:szCs w:val="28"/>
              </w:rPr>
            </m:ctrlPr>
          </m:dPr>
          <m:e>
            <m:r>
              <w:rPr>
                <w:rFonts w:ascii="Cambria Math" w:eastAsia="楷体" w:hAnsi="Cambria Math"/>
                <w:color w:val="000000" w:themeColor="text1"/>
                <w:sz w:val="28"/>
                <w:szCs w:val="28"/>
              </w:rPr>
              <m:t>LN</m:t>
            </m:r>
            <m:d>
              <m:dPr>
                <m:ctrlPr>
                  <w:rPr>
                    <w:rFonts w:ascii="Cambria Math" w:eastAsia="楷体" w:hAnsi="Cambria Math"/>
                    <w:i/>
                    <w:color w:val="000000" w:themeColor="text1"/>
                    <w:sz w:val="28"/>
                    <w:szCs w:val="28"/>
                  </w:rPr>
                </m:ctrlPr>
              </m:dPr>
              <m:e>
                <m:r>
                  <w:rPr>
                    <w:rFonts w:ascii="Cambria Math" w:eastAsia="楷体" w:hAnsi="Cambria Math"/>
                    <w:color w:val="000000" w:themeColor="text1"/>
                    <w:sz w:val="28"/>
                    <w:szCs w:val="28"/>
                  </w:rPr>
                  <m:t>x</m:t>
                </m:r>
              </m:e>
            </m:d>
          </m:e>
        </m:d>
        <m:r>
          <w:rPr>
            <w:rFonts w:ascii="Cambria Math" w:eastAsia="楷体" w:hAnsi="Cambria Math"/>
            <w:color w:val="000000" w:themeColor="text1"/>
            <w:sz w:val="28"/>
            <w:szCs w:val="28"/>
          </w:rPr>
          <m:t>,u=FFN(LN</m:t>
        </m:r>
        <m:d>
          <m:dPr>
            <m:ctrlPr>
              <w:rPr>
                <w:rFonts w:ascii="Cambria Math" w:eastAsia="楷体" w:hAnsi="Cambria Math"/>
                <w:i/>
                <w:color w:val="000000" w:themeColor="text1"/>
                <w:sz w:val="28"/>
                <w:szCs w:val="28"/>
              </w:rPr>
            </m:ctrlPr>
          </m:dPr>
          <m:e>
            <m:r>
              <w:rPr>
                <w:rFonts w:ascii="Cambria Math" w:eastAsia="楷体" w:hAnsi="Cambria Math"/>
                <w:color w:val="000000" w:themeColor="text1"/>
                <w:sz w:val="28"/>
                <w:szCs w:val="28"/>
              </w:rPr>
              <m:t>x</m:t>
            </m:r>
          </m:e>
        </m:d>
        <m:r>
          <w:rPr>
            <w:rFonts w:ascii="Cambria Math" w:eastAsia="楷体" w:hAnsi="Cambria Math"/>
            <w:color w:val="000000" w:themeColor="text1"/>
            <w:sz w:val="28"/>
            <w:szCs w:val="28"/>
          </w:rPr>
          <m:t>)</m:t>
        </m:r>
      </m:oMath>
      <w:r w:rsidRPr="00962F6B">
        <w:rPr>
          <w:rFonts w:ascii="楷体" w:eastAsia="楷体" w:hAnsi="楷体"/>
          <w:color w:val="000000" w:themeColor="text1"/>
          <w:sz w:val="28"/>
          <w:szCs w:val="28"/>
        </w:rPr>
        <w:t>；其中，</w:t>
      </w:r>
      <m:oMath>
        <m:r>
          <w:rPr>
            <w:rFonts w:ascii="Cambria Math" w:eastAsia="楷体" w:hAnsi="Cambria Math"/>
            <w:color w:val="000000" w:themeColor="text1"/>
            <w:sz w:val="28"/>
            <w:szCs w:val="28"/>
          </w:rPr>
          <m:t>SA</m:t>
        </m:r>
      </m:oMath>
      <w:r w:rsidRPr="00962F6B">
        <w:rPr>
          <w:rFonts w:ascii="楷体" w:eastAsia="楷体" w:hAnsi="楷体"/>
          <w:color w:val="000000" w:themeColor="text1"/>
          <w:sz w:val="28"/>
          <w:szCs w:val="28"/>
        </w:rPr>
        <w:t>为自注意力机制，</w:t>
      </w:r>
      <m:oMath>
        <m:r>
          <w:rPr>
            <w:rFonts w:ascii="Cambria Math" w:eastAsia="楷体" w:hAnsi="Cambria Math"/>
            <w:color w:val="000000" w:themeColor="text1"/>
            <w:sz w:val="28"/>
            <w:szCs w:val="28"/>
          </w:rPr>
          <m:t>LN</m:t>
        </m:r>
      </m:oMath>
      <w:r w:rsidRPr="00962F6B">
        <w:rPr>
          <w:rFonts w:ascii="楷体" w:eastAsia="楷体" w:hAnsi="楷体"/>
          <w:color w:val="000000" w:themeColor="text1"/>
          <w:sz w:val="28"/>
          <w:szCs w:val="28"/>
        </w:rPr>
        <w:t>为层归一化操作，</w:t>
      </w:r>
      <m:oMath>
        <m:r>
          <w:rPr>
            <w:rFonts w:ascii="Cambria Math" w:eastAsia="楷体" w:hAnsi="Cambria Math"/>
            <w:color w:val="000000" w:themeColor="text1"/>
            <w:sz w:val="28"/>
            <w:szCs w:val="28"/>
          </w:rPr>
          <m:t>FFN</m:t>
        </m:r>
      </m:oMath>
      <w:r w:rsidRPr="00962F6B">
        <w:rPr>
          <w:rFonts w:ascii="楷体" w:eastAsia="楷体" w:hAnsi="楷体"/>
          <w:color w:val="000000" w:themeColor="text1"/>
          <w:sz w:val="28"/>
          <w:szCs w:val="28"/>
        </w:rPr>
        <w:t>为前馈网络计算，</w:t>
      </w:r>
      <m:oMath>
        <m:r>
          <w:rPr>
            <w:rFonts w:ascii="Cambria Math" w:eastAsia="楷体" w:hAnsi="Cambria Math"/>
            <w:color w:val="000000" w:themeColor="text1"/>
            <w:sz w:val="28"/>
            <w:szCs w:val="28"/>
          </w:rPr>
          <m:t>u</m:t>
        </m:r>
      </m:oMath>
      <w:r w:rsidRPr="00962F6B">
        <w:rPr>
          <w:rFonts w:ascii="楷体" w:eastAsia="楷体" w:hAnsi="楷体"/>
          <w:color w:val="000000" w:themeColor="text1"/>
          <w:sz w:val="28"/>
          <w:szCs w:val="28"/>
        </w:rPr>
        <w:t>为草稿模型的中间特征表示。</w:t>
      </w:r>
    </w:p>
    <w:p w14:paraId="40598FAD"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将中间特征表示u输入门控混合模块，完成局部窗口内的特征混合操作得到过滤特征MGM(u)；再将草稿模型的初始输入特征x、前馈网络输出的中间特征表示u与过滤特征MGM(u)进行残差相加，得到草稿模型的最终输出特征，计算公式为：</w:t>
      </w:r>
    </w:p>
    <w:p w14:paraId="46E9B6EB" w14:textId="77D45119" w:rsidR="00962F6B" w:rsidRPr="00962F6B" w:rsidRDefault="0045141E" w:rsidP="00962F6B">
      <w:pPr>
        <w:adjustRightInd w:val="0"/>
        <w:snapToGrid w:val="0"/>
        <w:ind w:firstLine="560"/>
        <w:jc w:val="left"/>
        <w:rPr>
          <w:rFonts w:ascii="楷体" w:eastAsia="楷体" w:hAnsi="楷体"/>
          <w:color w:val="000000" w:themeColor="text1"/>
          <w:sz w:val="28"/>
          <w:szCs w:val="28"/>
        </w:rPr>
      </w:pPr>
      <m:oMathPara>
        <m:oMath>
          <m:r>
            <w:rPr>
              <w:rFonts w:ascii="Cambria Math" w:eastAsia="楷体" w:hAnsi="Cambria Math"/>
              <w:color w:val="000000" w:themeColor="text1"/>
              <w:sz w:val="28"/>
              <w:szCs w:val="28"/>
            </w:rPr>
            <m:t>y=x+u+MGM</m:t>
          </m:r>
          <m:d>
            <m:dPr>
              <m:ctrlPr>
                <w:rPr>
                  <w:rFonts w:ascii="Cambria Math" w:eastAsia="楷体" w:hAnsi="Cambria Math"/>
                  <w:i/>
                  <w:color w:val="000000" w:themeColor="text1"/>
                  <w:sz w:val="28"/>
                  <w:szCs w:val="28"/>
                </w:rPr>
              </m:ctrlPr>
            </m:dPr>
            <m:e>
              <m:r>
                <w:rPr>
                  <w:rFonts w:ascii="Cambria Math" w:eastAsia="楷体" w:hAnsi="Cambria Math"/>
                  <w:color w:val="000000" w:themeColor="text1"/>
                  <w:sz w:val="28"/>
                  <w:szCs w:val="28"/>
                </w:rPr>
                <m:t>u</m:t>
              </m:r>
            </m:e>
          </m:d>
          <m:r>
            <w:rPr>
              <w:rFonts w:ascii="Cambria Math" w:eastAsia="楷体" w:hAnsi="Cambria Math"/>
              <w:color w:val="000000" w:themeColor="text1"/>
              <w:sz w:val="28"/>
              <w:szCs w:val="28"/>
            </w:rPr>
            <m:t>;</m:t>
          </m:r>
        </m:oMath>
      </m:oMathPara>
    </w:p>
    <w:p w14:paraId="0F1B2267"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该门控混合模块为轻量序列混合模块，在每轮推测时从固定初值开始计算，不依赖跨步缓存，天然兼容序列生成中的回退机制，通过上述计算实现局部窗口内的特征混合过滤，平滑草稿模型的置信度信号，抑制拒绝片段聚集现象。</w:t>
      </w:r>
    </w:p>
    <w:p w14:paraId="1F037268" w14:textId="749F502D"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1.3语义条件自适应归一化机制的施加</w:t>
      </w:r>
    </w:p>
    <w:p w14:paraId="6248C0F8"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为解决多轮推测中表征漂移导致的接受率逐步下降问题，在构建特征增强型草稿模型时，引入语义条件自适应归一化机制：提取目标大语言模型预填充阶段生成的全局语义向量g，通过可学习映射函数将其转换为归一化参数偏移量(Δγ,Δβ)；将该偏移量作用于草稿模型的中间特征表示u，执行层</w:t>
      </w:r>
      <w:r w:rsidRPr="00962F6B">
        <w:rPr>
          <w:rFonts w:ascii="楷体" w:eastAsia="楷体" w:hAnsi="楷体"/>
          <w:color w:val="000000" w:themeColor="text1"/>
          <w:sz w:val="28"/>
          <w:szCs w:val="28"/>
        </w:rPr>
        <w:lastRenderedPageBreak/>
        <w:t>归一化操作，计算公式为：</w:t>
      </w:r>
    </w:p>
    <w:p w14:paraId="366C6688" w14:textId="13A9D5CE" w:rsidR="0045141E" w:rsidRPr="00962F6B" w:rsidRDefault="0045141E" w:rsidP="0045141E">
      <w:pPr>
        <w:adjustRightInd w:val="0"/>
        <w:snapToGrid w:val="0"/>
        <w:ind w:firstLine="560"/>
        <w:jc w:val="left"/>
        <w:rPr>
          <w:rFonts w:ascii="楷体" w:eastAsia="楷体" w:hAnsi="楷体"/>
          <w:color w:val="000000" w:themeColor="text1"/>
          <w:sz w:val="28"/>
          <w:szCs w:val="28"/>
        </w:rPr>
      </w:pPr>
      <m:oMathPara>
        <m:oMath>
          <m:r>
            <w:rPr>
              <w:rFonts w:ascii="Cambria Math" w:eastAsia="楷体" w:hAnsi="Cambria Math"/>
              <w:color w:val="000000" w:themeColor="text1"/>
              <w:sz w:val="28"/>
              <w:szCs w:val="28"/>
            </w:rPr>
            <m:t>Norm(u)</m:t>
          </m:r>
          <m:r>
            <w:rPr>
              <w:rFonts w:ascii="Cambria Math" w:eastAsia="楷体" w:hAnsi="Cambria Math"/>
              <w:color w:val="000000" w:themeColor="text1"/>
              <w:sz w:val="28"/>
              <w:szCs w:val="28"/>
            </w:rPr>
            <m:t>=</m:t>
          </m:r>
          <m:r>
            <w:rPr>
              <w:rFonts w:ascii="Cambria Math" w:eastAsia="楷体" w:hAnsi="Cambria Math"/>
              <w:color w:val="000000" w:themeColor="text1"/>
              <w:sz w:val="28"/>
              <w:szCs w:val="28"/>
            </w:rPr>
            <m:t>LN(u;γ+∆</m:t>
          </m:r>
          <m:r>
            <w:rPr>
              <w:rFonts w:ascii="Cambria Math" w:eastAsia="楷体" w:hAnsi="Cambria Math"/>
              <w:color w:val="000000" w:themeColor="text1"/>
              <w:sz w:val="28"/>
              <w:szCs w:val="28"/>
            </w:rPr>
            <m:t>γ</m:t>
          </m:r>
          <m:r>
            <w:rPr>
              <w:rFonts w:ascii="Cambria Math" w:eastAsia="楷体" w:hAnsi="Cambria Math"/>
              <w:color w:val="000000" w:themeColor="text1"/>
              <w:sz w:val="28"/>
              <w:szCs w:val="28"/>
            </w:rPr>
            <m:t>,β+</m:t>
          </m:r>
          <m:r>
            <w:rPr>
              <w:rFonts w:ascii="Cambria Math" w:eastAsia="楷体" w:hAnsi="Cambria Math"/>
              <w:color w:val="000000" w:themeColor="text1"/>
              <w:sz w:val="28"/>
              <w:szCs w:val="28"/>
            </w:rPr>
            <m:t>∆</m:t>
          </m:r>
          <m:r>
            <w:rPr>
              <w:rFonts w:ascii="Cambria Math" w:eastAsia="楷体" w:hAnsi="Cambria Math"/>
              <w:color w:val="000000" w:themeColor="text1"/>
              <w:sz w:val="28"/>
              <w:szCs w:val="28"/>
            </w:rPr>
            <m:t>β;</m:t>
          </m:r>
        </m:oMath>
      </m:oMathPara>
    </w:p>
    <w:p w14:paraId="09D4B7B0" w14:textId="5C08202B"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其中，</w:t>
      </w:r>
      <m:oMath>
        <m:r>
          <w:rPr>
            <w:rFonts w:ascii="Cambria Math" w:eastAsia="楷体" w:hAnsi="Cambria Math"/>
            <w:color w:val="000000" w:themeColor="text1"/>
            <w:sz w:val="28"/>
            <w:szCs w:val="28"/>
          </w:rPr>
          <m:t>γ</m:t>
        </m:r>
      </m:oMath>
      <w:r w:rsidRPr="00962F6B">
        <w:rPr>
          <w:rFonts w:ascii="楷体" w:eastAsia="楷体" w:hAnsi="楷体"/>
          <w:color w:val="000000" w:themeColor="text1"/>
          <w:sz w:val="28"/>
          <w:szCs w:val="28"/>
        </w:rPr>
        <w:t>、</w:t>
      </w:r>
      <m:oMath>
        <m:r>
          <w:rPr>
            <w:rFonts w:ascii="Cambria Math" w:eastAsia="楷体" w:hAnsi="Cambria Math"/>
            <w:color w:val="000000" w:themeColor="text1"/>
            <w:sz w:val="28"/>
            <w:szCs w:val="28"/>
          </w:rPr>
          <m:t>β</m:t>
        </m:r>
      </m:oMath>
      <w:r w:rsidRPr="00962F6B">
        <w:rPr>
          <w:rFonts w:ascii="楷体" w:eastAsia="楷体" w:hAnsi="楷体"/>
          <w:color w:val="000000" w:themeColor="text1"/>
          <w:sz w:val="28"/>
          <w:szCs w:val="28"/>
        </w:rPr>
        <w:t>为层归一化的基础参数，通过上述归一化处理，为草稿模型的特征表示提供跨轮一致的语义条件约束，有效减少特征漂移对拒绝概率的累积影响，进一步提升草稿模型的预测稳定性。</w:t>
      </w:r>
    </w:p>
    <w:p w14:paraId="4097A0FF" w14:textId="1ED3CD0E"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1.4特征增强型草稿模型的训练优化</w:t>
      </w:r>
    </w:p>
    <w:p w14:paraId="14082A1C" w14:textId="3E6E4B8E"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特征增强型草稿模型的训练损失函数由分布对齐损失与频域加权重构损失联合组成，即</w:t>
      </w:r>
      <w:r w:rsidRPr="00962F6B">
        <w:rPr>
          <w:rFonts w:ascii="Cambria Math" w:eastAsia="楷体" w:hAnsi="Cambria Math" w:cs="Cambria Math"/>
          <w:color w:val="000000" w:themeColor="text1"/>
          <w:sz w:val="28"/>
          <w:szCs w:val="28"/>
        </w:rPr>
        <w:t>​</w:t>
      </w:r>
      <m:oMath>
        <m:r>
          <w:rPr>
            <w:rFonts w:ascii="Cambria Math" w:eastAsia="楷体" w:hAnsi="Cambria Math"/>
            <w:color w:val="000000" w:themeColor="text1"/>
            <w:sz w:val="28"/>
            <w:szCs w:val="28"/>
          </w:rPr>
          <m:t>Ltotal=Lalign+λLfreq</m:t>
        </m:r>
      </m:oMath>
      <w:r w:rsidRPr="00962F6B">
        <w:rPr>
          <w:rFonts w:ascii="楷体" w:eastAsia="楷体" w:hAnsi="楷体"/>
          <w:color w:val="000000" w:themeColor="text1"/>
          <w:sz w:val="28"/>
          <w:szCs w:val="28"/>
        </w:rPr>
        <w:t>，其中</w:t>
      </w:r>
      <m:oMath>
        <m:r>
          <w:rPr>
            <w:rFonts w:ascii="Cambria Math" w:eastAsia="楷体" w:hAnsi="Cambria Math"/>
            <w:color w:val="000000" w:themeColor="text1"/>
            <w:sz w:val="28"/>
            <w:szCs w:val="28"/>
          </w:rPr>
          <m:t>λ</m:t>
        </m:r>
      </m:oMath>
      <w:r w:rsidRPr="00962F6B">
        <w:rPr>
          <w:rFonts w:ascii="楷体" w:eastAsia="楷体" w:hAnsi="楷体"/>
          <w:color w:val="000000" w:themeColor="text1"/>
          <w:sz w:val="28"/>
          <w:szCs w:val="28"/>
        </w:rPr>
        <w:t>为权重系数，用于平衡两项损失的占比：</w:t>
      </w:r>
    </w:p>
    <w:p w14:paraId="184434FD" w14:textId="28556CA4" w:rsidR="00962F6B" w:rsidRPr="00962F6B" w:rsidRDefault="00962F6B" w:rsidP="003F5436">
      <w:pPr>
        <w:adjustRightInd w:val="0"/>
        <w:snapToGrid w:val="0"/>
        <w:ind w:firstLineChars="100" w:firstLine="28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分布对齐损失</w:t>
      </w:r>
      <m:oMath>
        <m:r>
          <w:rPr>
            <w:rFonts w:ascii="Cambria Math" w:eastAsia="楷体" w:hAnsi="Cambria Math"/>
            <w:color w:val="000000" w:themeColor="text1"/>
            <w:sz w:val="28"/>
            <w:szCs w:val="28"/>
          </w:rPr>
          <m:t>Lalign</m:t>
        </m:r>
      </m:oMath>
      <w:r w:rsidRPr="00962F6B">
        <w:rPr>
          <w:rFonts w:ascii="Cambria Math" w:eastAsia="楷体" w:hAnsi="Cambria Math" w:cs="Cambria Math"/>
          <w:color w:val="000000" w:themeColor="text1"/>
          <w:sz w:val="28"/>
          <w:szCs w:val="28"/>
        </w:rPr>
        <w:t>​</w:t>
      </w:r>
      <w:r w:rsidRPr="00962F6B">
        <w:rPr>
          <w:rFonts w:ascii="楷体" w:eastAsia="楷体" w:hAnsi="楷体"/>
          <w:color w:val="000000" w:themeColor="text1"/>
          <w:sz w:val="28"/>
          <w:szCs w:val="28"/>
        </w:rPr>
        <w:t>：以目标大语言模型的输出为教师信号，采用交叉熵损失计算，保证草稿模型的输出分布与目标大语言模型的输出分布保持一致；</w:t>
      </w:r>
    </w:p>
    <w:p w14:paraId="0BB185F6" w14:textId="21693909" w:rsidR="00962F6B" w:rsidRPr="00962F6B" w:rsidRDefault="00962F6B" w:rsidP="003F5436">
      <w:pPr>
        <w:adjustRightInd w:val="0"/>
        <w:snapToGrid w:val="0"/>
        <w:ind w:firstLineChars="100" w:firstLine="28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频域加权重构损失</w:t>
      </w:r>
      <m:oMath>
        <m:r>
          <w:rPr>
            <w:rFonts w:ascii="Cambria Math" w:eastAsia="楷体" w:hAnsi="Cambria Math"/>
            <w:color w:val="000000" w:themeColor="text1"/>
            <w:sz w:val="28"/>
            <w:szCs w:val="28"/>
          </w:rPr>
          <m:t>Lfreq</m:t>
        </m:r>
      </m:oMath>
      <w:r w:rsidRPr="00962F6B">
        <w:rPr>
          <w:rFonts w:ascii="Cambria Math" w:eastAsia="楷体" w:hAnsi="Cambria Math" w:cs="Cambria Math"/>
          <w:color w:val="000000" w:themeColor="text1"/>
          <w:sz w:val="28"/>
          <w:szCs w:val="28"/>
        </w:rPr>
        <w:t>​</w:t>
      </w:r>
      <w:r w:rsidRPr="00962F6B">
        <w:rPr>
          <w:rFonts w:ascii="楷体" w:eastAsia="楷体" w:hAnsi="楷体"/>
          <w:color w:val="000000" w:themeColor="text1"/>
          <w:sz w:val="28"/>
          <w:szCs w:val="28"/>
        </w:rPr>
        <w:t>：先通过重构映射将草稿侧的隐藏特征表示映射回目标大语言模型的隐藏空间，再沿特征维度对映射后的特征施加一维小波变换，将变换后的系数划分为高频系数集合与低频系数集合；在构建该损失项时，为低频系数集合设置远大于高频系数集合的惩罚权重，引导草稿模型在训练阶段聚焦语义主干特征，弱化高频扰动对置信度的影响。</w:t>
      </w:r>
    </w:p>
    <w:p w14:paraId="346CDCC0"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上述频域加权重构损失仅在离线训练阶段执行，不增加任何在线推理时延。</w:t>
      </w:r>
    </w:p>
    <w:p w14:paraId="4F5D75EF" w14:textId="70359230"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步骤2：构建风险感知的动态验证树配置映射表</w:t>
      </w:r>
    </w:p>
    <w:p w14:paraId="4F8236E7" w14:textId="772419BE" w:rsidR="00962F6B" w:rsidRPr="00962F6B" w:rsidRDefault="00B05C4C" w:rsidP="00962F6B">
      <w:pPr>
        <w:adjustRightInd w:val="0"/>
        <w:snapToGrid w:val="0"/>
        <w:ind w:firstLine="560"/>
        <w:jc w:val="left"/>
        <w:rPr>
          <w:rFonts w:ascii="楷体" w:eastAsia="楷体" w:hAnsi="楷体"/>
          <w:color w:val="000000" w:themeColor="text1"/>
          <w:sz w:val="28"/>
          <w:szCs w:val="28"/>
        </w:rPr>
      </w:pPr>
      <w:r>
        <w:rPr>
          <w:rFonts w:ascii="楷体" w:eastAsia="楷体" w:hAnsi="楷体"/>
          <w:color w:val="000000" w:themeColor="text1"/>
          <w:sz w:val="28"/>
          <w:szCs w:val="28"/>
        </w:rPr>
        <w:t>本实施例</w:t>
      </w:r>
      <w:r w:rsidR="00962F6B" w:rsidRPr="00962F6B">
        <w:rPr>
          <w:rFonts w:ascii="楷体" w:eastAsia="楷体" w:hAnsi="楷体"/>
          <w:color w:val="000000" w:themeColor="text1"/>
          <w:sz w:val="28"/>
          <w:szCs w:val="28"/>
        </w:rPr>
        <w:t>通过离线在训练数据集上执行推测解码轨迹采集与风险标定，生成风险特征与验证树结构配置参数的映射表，为在线推理的动态配置提供依据，具体分为三个子步骤：</w:t>
      </w:r>
    </w:p>
    <w:p w14:paraId="51811708" w14:textId="523627A2"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2.1推测解码轨迹采集与特征提取</w:t>
      </w:r>
    </w:p>
    <w:p w14:paraId="605D62F3"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在预设的训练数据集上运行推测解码流程，全量采集每轮推测的验证轨迹数据，针对每轮推测操作，提取两类核心特征：</w:t>
      </w:r>
    </w:p>
    <w:p w14:paraId="79A9E455" w14:textId="77777777" w:rsidR="00962F6B" w:rsidRPr="00962F6B" w:rsidRDefault="00962F6B" w:rsidP="003F5436">
      <w:pPr>
        <w:adjustRightInd w:val="0"/>
        <w:snapToGrid w:val="0"/>
        <w:ind w:firstLineChars="100" w:firstLine="28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草稿侧的风险观测特征：为三维观测特征向量，具体包括当前轮次草稿模</w:t>
      </w:r>
      <w:r w:rsidRPr="00962F6B">
        <w:rPr>
          <w:rFonts w:ascii="楷体" w:eastAsia="楷体" w:hAnsi="楷体"/>
          <w:color w:val="000000" w:themeColor="text1"/>
          <w:sz w:val="28"/>
          <w:szCs w:val="28"/>
        </w:rPr>
        <w:lastRenderedPageBreak/>
        <w:t>型输出分布的最大对数几率（max_logit）、当前轮次草稿模型输出分布的信息熵（entropy）、历史接受长度的指数滑动平均值（history_accept_ema），从分布尖锐程度、分布不确定性、跨轮平滑记忆三个维度量化输入风险；</w:t>
      </w:r>
    </w:p>
    <w:p w14:paraId="05A98BD7" w14:textId="1C5D03D6" w:rsidR="00962F6B" w:rsidRPr="00962F6B" w:rsidRDefault="00962F6B" w:rsidP="003F5436">
      <w:pPr>
        <w:adjustRightInd w:val="0"/>
        <w:snapToGrid w:val="0"/>
        <w:ind w:firstLineChars="100" w:firstLine="28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验证首错特征：为首次拒绝位置对应的首错时间T，记第i个候选标记是否被目标大语言模型接受为二值变量</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A</m:t>
            </m:r>
          </m:e>
          <m:sub>
            <m:r>
              <w:rPr>
                <w:rFonts w:ascii="Cambria Math" w:eastAsia="楷体" w:hAnsi="Cambria Math"/>
                <w:color w:val="000000" w:themeColor="text1"/>
                <w:sz w:val="28"/>
                <w:szCs w:val="28"/>
              </w:rPr>
              <m:t>i</m:t>
            </m:r>
          </m:sub>
        </m:sSub>
        <m:r>
          <w:rPr>
            <w:rFonts w:ascii="Cambria Math" w:eastAsia="楷体" w:hAnsi="Cambria Math"/>
            <w:color w:val="000000" w:themeColor="text1"/>
            <w:sz w:val="28"/>
            <w:szCs w:val="28"/>
          </w:rPr>
          <m:t>∈</m:t>
        </m:r>
        <m:d>
          <m:dPr>
            <m:begChr m:val="{"/>
            <m:endChr m:val=""/>
            <m:ctrlPr>
              <w:rPr>
                <w:rFonts w:ascii="Cambria Math" w:eastAsia="楷体" w:hAnsi="Cambria Math"/>
                <w:i/>
                <w:color w:val="000000" w:themeColor="text1"/>
                <w:sz w:val="28"/>
                <w:szCs w:val="28"/>
              </w:rPr>
            </m:ctrlPr>
          </m:dPr>
          <m:e>
            <m:r>
              <w:rPr>
                <w:rFonts w:ascii="Cambria Math" w:eastAsia="楷体" w:hAnsi="Cambria Math"/>
                <w:color w:val="000000" w:themeColor="text1"/>
                <w:sz w:val="28"/>
                <w:szCs w:val="28"/>
              </w:rPr>
              <m:t>0,</m:t>
            </m:r>
            <m:d>
              <m:dPr>
                <m:begChr m:val=""/>
                <m:endChr m:val="}"/>
                <m:ctrlPr>
                  <w:rPr>
                    <w:rFonts w:ascii="Cambria Math" w:eastAsia="楷体" w:hAnsi="Cambria Math"/>
                    <w:i/>
                    <w:color w:val="000000" w:themeColor="text1"/>
                    <w:sz w:val="28"/>
                    <w:szCs w:val="28"/>
                  </w:rPr>
                </m:ctrlPr>
              </m:dPr>
              <m:e>
                <m:r>
                  <w:rPr>
                    <w:rFonts w:ascii="Cambria Math" w:eastAsia="楷体" w:hAnsi="Cambria Math"/>
                    <w:color w:val="000000" w:themeColor="text1"/>
                    <w:sz w:val="28"/>
                    <w:szCs w:val="28"/>
                  </w:rPr>
                  <m:t>1</m:t>
                </m:r>
              </m:e>
            </m:d>
          </m:e>
        </m:d>
      </m:oMath>
      <w:r w:rsidRPr="00962F6B">
        <w:rPr>
          <w:rFonts w:ascii="楷体" w:eastAsia="楷体" w:hAnsi="楷体"/>
          <w:color w:val="000000" w:themeColor="text1"/>
          <w:sz w:val="28"/>
          <w:szCs w:val="28"/>
        </w:rPr>
        <w:t>（0为拒绝，1为接受），则首错时间的定义为：</w:t>
      </w:r>
    </w:p>
    <w:p w14:paraId="54666D6D" w14:textId="275AC6C0" w:rsidR="00962F6B" w:rsidRPr="00962F6B" w:rsidRDefault="00B44F9B" w:rsidP="00B44F9B">
      <w:pPr>
        <w:adjustRightInd w:val="0"/>
        <w:snapToGrid w:val="0"/>
        <w:ind w:firstLine="560"/>
        <w:jc w:val="center"/>
        <w:rPr>
          <w:rFonts w:ascii="楷体" w:eastAsia="楷体" w:hAnsi="楷体"/>
          <w:color w:val="000000" w:themeColor="text1"/>
          <w:sz w:val="28"/>
          <w:szCs w:val="28"/>
        </w:rPr>
      </w:pPr>
      <m:oMath>
        <m:r>
          <w:rPr>
            <w:rFonts w:ascii="Cambria Math" w:eastAsia="楷体" w:hAnsi="Cambria Math"/>
            <w:color w:val="000000" w:themeColor="text1"/>
            <w:sz w:val="28"/>
            <w:szCs w:val="28"/>
          </w:rPr>
          <m:t>T=</m:t>
        </m:r>
        <m:r>
          <w:rPr>
            <w:rFonts w:ascii="Cambria Math" w:eastAsia="楷体" w:hAnsi="Cambria Math"/>
            <w:color w:val="000000" w:themeColor="text1"/>
            <w:sz w:val="28"/>
            <w:szCs w:val="28"/>
          </w:rPr>
          <m:t>min</m:t>
        </m:r>
        <m:d>
          <m:dPr>
            <m:begChr m:val="{"/>
            <m:endChr m:val="}"/>
            <m:ctrlPr>
              <w:rPr>
                <w:rFonts w:ascii="Cambria Math" w:eastAsia="楷体" w:hAnsi="Cambria Math"/>
                <w:i/>
                <w:color w:val="000000" w:themeColor="text1"/>
                <w:sz w:val="28"/>
                <w:szCs w:val="28"/>
              </w:rPr>
            </m:ctrlPr>
          </m:dPr>
          <m:e>
            <m:r>
              <w:rPr>
                <w:rFonts w:ascii="Cambria Math" w:eastAsia="楷体" w:hAnsi="Cambria Math"/>
                <w:color w:val="000000" w:themeColor="text1"/>
                <w:sz w:val="28"/>
                <w:szCs w:val="28"/>
              </w:rPr>
              <m:t>i</m:t>
            </m:r>
          </m:e>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A</m:t>
                </m:r>
              </m:e>
              <m:sub>
                <m:r>
                  <w:rPr>
                    <w:rFonts w:ascii="Cambria Math" w:eastAsia="楷体" w:hAnsi="Cambria Math"/>
                    <w:color w:val="000000" w:themeColor="text1"/>
                    <w:sz w:val="28"/>
                    <w:szCs w:val="28"/>
                  </w:rPr>
                  <m:t>i</m:t>
                </m:r>
              </m:sub>
            </m:sSub>
            <m:r>
              <w:rPr>
                <w:rFonts w:ascii="Cambria Math" w:eastAsia="楷体" w:hAnsi="Cambria Math"/>
                <w:color w:val="000000" w:themeColor="text1"/>
                <w:sz w:val="28"/>
                <w:szCs w:val="28"/>
              </w:rPr>
              <m:t>=0</m:t>
            </m:r>
          </m:e>
        </m:d>
      </m:oMath>
      <w:r>
        <w:rPr>
          <w:rFonts w:ascii="楷体" w:eastAsia="楷体" w:hAnsi="楷体" w:hint="eastAsia"/>
          <w:color w:val="000000" w:themeColor="text1"/>
          <w:sz w:val="28"/>
          <w:szCs w:val="28"/>
        </w:rPr>
        <w:t>;</w:t>
      </w:r>
    </w:p>
    <w:p w14:paraId="7880E2E2" w14:textId="3768DFAB"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2.2即时验证风险概率的计算</w:t>
      </w:r>
    </w:p>
    <w:p w14:paraId="038CF4B6" w14:textId="58471846"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基于采集的首错时间T，计算不同风险观测特征区间下的即时验证风险概率，定义即时验证风险函数</w:t>
      </w:r>
      <m:oMath>
        <m:r>
          <w:rPr>
            <w:rFonts w:ascii="Cambria Math" w:eastAsia="楷体" w:hAnsi="Cambria Math"/>
            <w:color w:val="000000" w:themeColor="text1"/>
            <w:sz w:val="28"/>
            <w:szCs w:val="28"/>
          </w:rPr>
          <m:t>h</m:t>
        </m:r>
        <m:d>
          <m:dPr>
            <m:ctrlPr>
              <w:rPr>
                <w:rFonts w:ascii="Cambria Math" w:eastAsia="楷体" w:hAnsi="Cambria Math"/>
                <w:i/>
                <w:color w:val="000000" w:themeColor="text1"/>
                <w:sz w:val="28"/>
                <w:szCs w:val="28"/>
              </w:rPr>
            </m:ctrlPr>
          </m:dPr>
          <m:e>
            <m:r>
              <w:rPr>
                <w:rFonts w:ascii="Cambria Math" w:eastAsia="楷体" w:hAnsi="Cambria Math"/>
                <w:color w:val="000000" w:themeColor="text1"/>
                <w:sz w:val="28"/>
                <w:szCs w:val="28"/>
              </w:rPr>
              <m:t>i</m:t>
            </m:r>
          </m:e>
        </m:d>
      </m:oMath>
      <w:r w:rsidRPr="00962F6B">
        <w:rPr>
          <w:rFonts w:ascii="楷体" w:eastAsia="楷体" w:hAnsi="楷体"/>
          <w:color w:val="000000" w:themeColor="text1"/>
          <w:sz w:val="28"/>
          <w:szCs w:val="28"/>
        </w:rPr>
        <w:t>为在之前候选标记均未被拒绝的条件下，第i步候选标记发生首次拒绝的条件概率，计算公式为：</w:t>
      </w:r>
    </w:p>
    <w:p w14:paraId="5194A04A" w14:textId="3A7B14D0" w:rsidR="00962F6B" w:rsidRPr="00962F6B" w:rsidRDefault="00BF68E8" w:rsidP="00BF68E8">
      <w:pPr>
        <w:adjustRightInd w:val="0"/>
        <w:snapToGrid w:val="0"/>
        <w:ind w:firstLine="560"/>
        <w:jc w:val="center"/>
        <w:rPr>
          <w:rFonts w:ascii="楷体" w:eastAsia="楷体" w:hAnsi="楷体"/>
          <w:color w:val="000000" w:themeColor="text1"/>
          <w:sz w:val="28"/>
          <w:szCs w:val="28"/>
        </w:rPr>
      </w:pPr>
      <m:oMath>
        <m:r>
          <w:rPr>
            <w:rFonts w:ascii="Cambria Math" w:eastAsia="楷体" w:hAnsi="Cambria Math"/>
            <w:color w:val="000000" w:themeColor="text1"/>
            <w:sz w:val="28"/>
            <w:szCs w:val="28"/>
          </w:rPr>
          <m:t>h</m:t>
        </m:r>
        <m:d>
          <m:dPr>
            <m:ctrlPr>
              <w:rPr>
                <w:rFonts w:ascii="Cambria Math" w:eastAsia="楷体" w:hAnsi="Cambria Math"/>
                <w:i/>
                <w:color w:val="000000" w:themeColor="text1"/>
                <w:sz w:val="28"/>
                <w:szCs w:val="28"/>
              </w:rPr>
            </m:ctrlPr>
          </m:dPr>
          <m:e>
            <m:r>
              <w:rPr>
                <w:rFonts w:ascii="Cambria Math" w:eastAsia="楷体" w:hAnsi="Cambria Math"/>
                <w:color w:val="000000" w:themeColor="text1"/>
                <w:sz w:val="28"/>
                <w:szCs w:val="28"/>
              </w:rPr>
              <m:t>i</m:t>
            </m:r>
          </m:e>
        </m:d>
        <m:r>
          <w:rPr>
            <w:rFonts w:ascii="Cambria Math" w:eastAsia="楷体" w:hAnsi="Cambria Math"/>
            <w:color w:val="000000" w:themeColor="text1"/>
            <w:sz w:val="28"/>
            <w:szCs w:val="28"/>
          </w:rPr>
          <m:t>=</m:t>
        </m:r>
        <m:r>
          <m:rPr>
            <m:sty m:val="p"/>
          </m:rPr>
          <w:rPr>
            <w:rFonts w:ascii="Cambria Math" w:eastAsia="楷体" w:hAnsi="Cambria Math"/>
            <w:color w:val="000000" w:themeColor="text1"/>
            <w:sz w:val="28"/>
            <w:szCs w:val="28"/>
          </w:rPr>
          <m:t>Pr⁡</m:t>
        </m:r>
        <m:r>
          <w:rPr>
            <w:rFonts w:ascii="Cambria Math" w:eastAsia="楷体" w:hAnsi="Cambria Math"/>
            <w:color w:val="000000" w:themeColor="text1"/>
            <w:sz w:val="28"/>
            <w:szCs w:val="28"/>
          </w:rPr>
          <m:t>(T=i</m:t>
        </m:r>
        <m:d>
          <m:dPr>
            <m:begChr m:val="|"/>
            <m:endChr m:val=""/>
            <m:ctrlPr>
              <w:rPr>
                <w:rFonts w:ascii="Cambria Math" w:eastAsia="楷体" w:hAnsi="Cambria Math"/>
                <w:i/>
                <w:color w:val="000000" w:themeColor="text1"/>
                <w:sz w:val="28"/>
                <w:szCs w:val="28"/>
              </w:rPr>
            </m:ctrlPr>
          </m:dPr>
          <m:e>
            <m:r>
              <w:rPr>
                <w:rFonts w:ascii="Cambria Math" w:eastAsia="楷体" w:hAnsi="Cambria Math"/>
                <w:color w:val="000000" w:themeColor="text1"/>
                <w:sz w:val="28"/>
                <w:szCs w:val="28"/>
              </w:rPr>
              <m:t>T≥i</m:t>
            </m:r>
          </m:e>
        </m:d>
      </m:oMath>
      <w:r>
        <w:rPr>
          <w:rFonts w:ascii="楷体" w:eastAsia="楷体" w:hAnsi="楷体" w:hint="eastAsia"/>
          <w:color w:val="000000" w:themeColor="text1"/>
          <w:sz w:val="28"/>
          <w:szCs w:val="28"/>
        </w:rPr>
        <w:t>;</w:t>
      </w:r>
    </w:p>
    <w:p w14:paraId="4DD61D3C"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通过该函数实现对不同输入上下文下拒绝风险的精准量化，为后续验证树结构配置参数的求解提供量化依据。</w:t>
      </w:r>
    </w:p>
    <w:p w14:paraId="2A2C6548" w14:textId="4D597312"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2.3最优结构配置参数求解与映射表生成</w:t>
      </w:r>
    </w:p>
    <w:p w14:paraId="043656DF" w14:textId="022D871A"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预设验证算力预算上限（即验证节点总预算），基于上述计算得到的即时验证风险概率</w:t>
      </w:r>
      <m:oMath>
        <m:r>
          <w:rPr>
            <w:rFonts w:ascii="Cambria Math" w:eastAsia="楷体" w:hAnsi="Cambria Math"/>
            <w:color w:val="000000" w:themeColor="text1"/>
            <w:sz w:val="28"/>
            <w:szCs w:val="28"/>
          </w:rPr>
          <m:t>h</m:t>
        </m:r>
        <m:d>
          <m:dPr>
            <m:ctrlPr>
              <w:rPr>
                <w:rFonts w:ascii="Cambria Math" w:eastAsia="楷体" w:hAnsi="Cambria Math"/>
                <w:i/>
                <w:color w:val="000000" w:themeColor="text1"/>
                <w:sz w:val="28"/>
                <w:szCs w:val="28"/>
              </w:rPr>
            </m:ctrlPr>
          </m:dPr>
          <m:e>
            <m:r>
              <w:rPr>
                <w:rFonts w:ascii="Cambria Math" w:eastAsia="楷体" w:hAnsi="Cambria Math"/>
                <w:color w:val="000000" w:themeColor="text1"/>
                <w:sz w:val="28"/>
                <w:szCs w:val="28"/>
              </w:rPr>
              <m:t>i</m:t>
            </m:r>
          </m:e>
        </m:d>
      </m:oMath>
      <w:r w:rsidRPr="00962F6B">
        <w:rPr>
          <w:rFonts w:ascii="楷体" w:eastAsia="楷体" w:hAnsi="楷体"/>
          <w:color w:val="000000" w:themeColor="text1"/>
          <w:sz w:val="28"/>
          <w:szCs w:val="28"/>
        </w:rPr>
        <w:t>，将三维风险观测特征向量空间划分为多个风险区间桶；为每个风险区间桶求解能最大化预期接受长度的验证树最优结构配置参数，所述配置参数包括验证树最大扩展深度D与一维验证展开上限M。</w:t>
      </w:r>
    </w:p>
    <w:p w14:paraId="33AF6914"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求解遵循风险差异化配置策略：高风险区间配置更小的最大扩展深度D与适配的一维验证展开上限M，以截断早拒绝上下文下的无效扩展；低风险区间配置更大的最大扩展深度D与适配的一维验证展开上限M，以充分挖掘硬件算力、提升单轮可接受长度上限。</w:t>
      </w:r>
    </w:p>
    <w:p w14:paraId="6B5EE35A"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将各风险区间桶与对应的最优配置参数(D,M)的对应关系固化，生成非易失性的风险特征与验证树结构配置参数的映射表，该映射表可直接用于在线推理的参数查询。</w:t>
      </w:r>
    </w:p>
    <w:p w14:paraId="3244F1A7" w14:textId="27A49131"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lastRenderedPageBreak/>
        <w:t>步骤3：在线推理的验证树动态结构配置</w:t>
      </w:r>
    </w:p>
    <w:p w14:paraId="19F7542F" w14:textId="5225EEE2" w:rsidR="00962F6B" w:rsidRPr="00962F6B" w:rsidRDefault="00B05C4C" w:rsidP="00962F6B">
      <w:pPr>
        <w:adjustRightInd w:val="0"/>
        <w:snapToGrid w:val="0"/>
        <w:ind w:firstLine="560"/>
        <w:jc w:val="left"/>
        <w:rPr>
          <w:rFonts w:ascii="楷体" w:eastAsia="楷体" w:hAnsi="楷体"/>
          <w:color w:val="000000" w:themeColor="text1"/>
          <w:sz w:val="28"/>
          <w:szCs w:val="28"/>
        </w:rPr>
      </w:pPr>
      <w:r>
        <w:rPr>
          <w:rFonts w:ascii="楷体" w:eastAsia="楷体" w:hAnsi="楷体" w:hint="eastAsia"/>
          <w:color w:val="000000" w:themeColor="text1"/>
          <w:sz w:val="28"/>
          <w:szCs w:val="28"/>
        </w:rPr>
        <w:t>如图2所示，</w:t>
      </w:r>
      <w:r>
        <w:rPr>
          <w:rFonts w:ascii="楷体" w:eastAsia="楷体" w:hAnsi="楷体"/>
          <w:color w:val="000000" w:themeColor="text1"/>
          <w:sz w:val="28"/>
          <w:szCs w:val="28"/>
        </w:rPr>
        <w:t>本实施例</w:t>
      </w:r>
      <w:r w:rsidR="00962F6B" w:rsidRPr="00962F6B">
        <w:rPr>
          <w:rFonts w:ascii="楷体" w:eastAsia="楷体" w:hAnsi="楷体"/>
          <w:color w:val="000000" w:themeColor="text1"/>
          <w:sz w:val="28"/>
          <w:szCs w:val="28"/>
        </w:rPr>
        <w:t>在目标大语言模型的实际推理阶段，完成实时风险观测特征提取与验证树结构配置参数的快速查询，全程无额外寻优迭代计算，算法开销仅为轻量级特征计算与常数时间哈希索引查询，具体为：</w:t>
      </w:r>
    </w:p>
    <w:p w14:paraId="4065519C" w14:textId="32E4F4F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3.1实时风险观测特征提取：针对当前轮次的推理输入，实时提取特征增强型草稿模型输出的三维风险观测特征向量（最大对数几率、信息熵、历史接受长度的指数滑动平均值），并将其划入步骤2中预设的对应风险区间桶；</w:t>
      </w:r>
    </w:p>
    <w:p w14:paraId="09F8B2E7" w14:textId="50EA0A5D"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3.2配置参数查询与下发：根据风险区间桶的索引，直接从步骤2生成的离线映射表中读取当前轮次的最优验证树结构配置参数（最大扩展深度D、一维验证展开上限M），并将该参数下发至后续验证树生成模块，实现输入风险驱动的验证树结构自适应配置。</w:t>
      </w:r>
    </w:p>
    <w:p w14:paraId="24F40A9B" w14:textId="3D9C8001"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步骤4：生成风险感知验证树并执行并行验证</w:t>
      </w:r>
    </w:p>
    <w:p w14:paraId="4147A91C" w14:textId="5D5A0498" w:rsidR="00962F6B" w:rsidRPr="00962F6B" w:rsidRDefault="00B05C4C" w:rsidP="00962F6B">
      <w:pPr>
        <w:adjustRightInd w:val="0"/>
        <w:snapToGrid w:val="0"/>
        <w:ind w:firstLine="560"/>
        <w:jc w:val="left"/>
        <w:rPr>
          <w:rFonts w:ascii="楷体" w:eastAsia="楷体" w:hAnsi="楷体"/>
          <w:color w:val="000000" w:themeColor="text1"/>
          <w:sz w:val="28"/>
          <w:szCs w:val="28"/>
        </w:rPr>
      </w:pPr>
      <w:r>
        <w:rPr>
          <w:rFonts w:ascii="楷体" w:eastAsia="楷体" w:hAnsi="楷体" w:hint="eastAsia"/>
          <w:color w:val="000000" w:themeColor="text1"/>
          <w:sz w:val="28"/>
          <w:szCs w:val="28"/>
        </w:rPr>
        <w:t>如图3所示，</w:t>
      </w:r>
      <w:r>
        <w:rPr>
          <w:rFonts w:ascii="楷体" w:eastAsia="楷体" w:hAnsi="楷体"/>
          <w:color w:val="000000" w:themeColor="text1"/>
          <w:sz w:val="28"/>
          <w:szCs w:val="28"/>
        </w:rPr>
        <w:t>本实施例</w:t>
      </w:r>
      <w:r w:rsidR="00962F6B" w:rsidRPr="00962F6B">
        <w:rPr>
          <w:rFonts w:ascii="楷体" w:eastAsia="楷体" w:hAnsi="楷体"/>
          <w:color w:val="000000" w:themeColor="text1"/>
          <w:sz w:val="28"/>
          <w:szCs w:val="28"/>
        </w:rPr>
        <w:t>依据在线查询得到的配置参数，生成带分支约束的风险感知验证树，经一维序列展开与分支隔离掩码构造后，由目标大语言模型执行单次前向并行验证，最终按无损接受规则提交最长可接受前缀，具体分为四个子步骤：</w:t>
      </w:r>
    </w:p>
    <w:p w14:paraId="752F77FA" w14:textId="37E7879F"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4.1动态置信度阈值驱动的验证树生成</w:t>
      </w:r>
    </w:p>
    <w:p w14:paraId="391AA5BC" w14:textId="434AB9C4"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以步骤3获取的最大扩展深度D为约束，从根节点开始逐层生成验证树，同时通过动态置信度阈值实现分支扩展的严格约束：</w:t>
      </w:r>
    </w:p>
    <w:p w14:paraId="4E54F723"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预设随验证树层级深度动态变化的置信度阈值，对验证树中的任意候选节点，计算其在草稿模型输出分布下的最大概率值；仅当该最大概率值大于或等于其所在层级深度对应的置信度阈值时，允许该候选节点向下派生下一层级的分支，否则直接截断该探索分支。</w:t>
      </w:r>
    </w:p>
    <w:p w14:paraId="2C99CB63"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该方式有效收敛验证树的横向宽度，减少无效候选节点的生成，避免算力浪费。</w:t>
      </w:r>
    </w:p>
    <w:p w14:paraId="231C6E5B" w14:textId="2B3A60B1"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4.2验证树候选节点的一维序列展开</w:t>
      </w:r>
    </w:p>
    <w:p w14:paraId="14C26749"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lastRenderedPageBreak/>
        <w:t>完成验证树的层级扩展后，对验证树中所有候选节点进行全局重排，按照重排结果选取数量不超过一维验证展开上限M的节点集合，将该节点集合展开为一维序列，为目标大语言模型的并行验证提供输入基础，保证验证序列的有效性与算力适配性。</w:t>
      </w:r>
    </w:p>
    <w:p w14:paraId="01012747" w14:textId="799C2EC1"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4.3分支隔离的注意力掩码构造</w:t>
      </w:r>
    </w:p>
    <w:p w14:paraId="244C7469"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为避免不同候选分支间的语义交叉污染，保证目标大语言模型验证计算的语义纯净性，根据验证树的分支拓扑结构，为上述一维展开序列构造分支隔离的注意力掩码，该掩码为下三角掩码矩阵的结构变体：</w:t>
      </w:r>
    </w:p>
    <w:p w14:paraId="241A9AAB"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使一维展开序列中的任意节点，在目标大语言模型的前向验证计算中，其注意力机制仅能单向索引到草稿树中位于自身生成路径上的祖先节点以及节点自身，阻断不同候选分支之间的注意力交互，从掩码层面保证验证计算的准确性。</w:t>
      </w:r>
    </w:p>
    <w:p w14:paraId="2BAC4BC8" w14:textId="77BA94C0"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4.4单次前向并行验证与最长可接受前缀提交</w:t>
      </w:r>
    </w:p>
    <w:p w14:paraId="0BE3F597"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将一维展开序列与上述分支隔离的注意力掩码一同输入目标大语言模型，由目标大语言模型执行单次前向并行验证，并行得到多个路径前缀的目标分布；</w:t>
      </w:r>
    </w:p>
    <w:p w14:paraId="435146FC"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按照无损接受规则，匹配并提交与目标大语言模型自回归生成结果完全一致的最长序列前缀，完成当前轮次的推测解码；随后更新上下文状态，进入下一轮推测解码循环，直至完成整个序列的生成。</w:t>
      </w:r>
    </w:p>
    <w:p w14:paraId="201CF852" w14:textId="77777777"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实施例效果验证</w:t>
      </w:r>
    </w:p>
    <w:p w14:paraId="126F1797" w14:textId="72C53361"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为验证本发明方法的有效性，在NVIDIAA100(40GB)硬件平台上进行系统级实验评估，选取LLaMA2-Chat-7B/13B、LLaMA3-Instruct-8B/70B等开源大语言模型作为目标模型，评测任务覆盖指令跟随（Alpaca）、数学推理（GSM8K）、代码生成（HumanEval）、多轮对话（MT-bench）等六类典型生成场景，在线推理阶段设定温度系数T=0，以端到端时间加速比（Speedup，以经典自回归方法为基线）和平均接受长度（τ）为核心评测指标。</w:t>
      </w:r>
    </w:p>
    <w:p w14:paraId="4AE8BF5E" w14:textId="7787275A"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lastRenderedPageBreak/>
        <w:t>实验结果表明：在MT-bench多轮对话任务中，本发明取得3.20倍的端到端加速比，单轮平均接受长度τ达到3.89，显著超越现有先进基线方法EAGLE-2（2.75X加速比，τ=3.63）；在GSM8K数学推理任务中，针对LLaMA3-8B模型，本发明实现3.95X的端到端加速比，针对LLaMA2-13B模型更是突破至4.15X；在多任务泛化测试中，本发明方法的平均接受长度τ均呈现0.209至0.300的正向增量。</w:t>
      </w:r>
    </w:p>
    <w:p w14:paraId="5E0245E0" w14:textId="1B4FFD9E" w:rsidR="00962F6B" w:rsidRPr="00962F6B" w:rsidRDefault="00962F6B" w:rsidP="00962F6B">
      <w:pPr>
        <w:adjustRightInd w:val="0"/>
        <w:snapToGrid w:val="0"/>
        <w:ind w:firstLine="560"/>
        <w:jc w:val="left"/>
        <w:rPr>
          <w:rFonts w:ascii="楷体" w:eastAsia="楷体" w:hAnsi="楷体"/>
          <w:color w:val="000000" w:themeColor="text1"/>
          <w:sz w:val="28"/>
          <w:szCs w:val="28"/>
        </w:rPr>
      </w:pPr>
      <w:r w:rsidRPr="00962F6B">
        <w:rPr>
          <w:rFonts w:ascii="楷体" w:eastAsia="楷体" w:hAnsi="楷体"/>
          <w:color w:val="000000" w:themeColor="text1"/>
          <w:sz w:val="28"/>
          <w:szCs w:val="28"/>
        </w:rPr>
        <w:t>消融实验进一步证实核心组件的有效性：移除门控混合模块后，平均接受长度τ出现系统性回落，拒绝碎片长度显著增加；采用固定深度配置替代本发明的动态配置策略时，高风险区间出现大量无效扩展，算力浪费率提升30%以上。上述实验结果充分证明，本发明的特征增强型草稿模型与风险感知的动态验证树配置策略，能有效实现大语言模型推测解码的稳定、高效、无损加速，在不同规模模型、不同生成场景下均具备优异的加速鲁棒性。</w:t>
      </w:r>
    </w:p>
    <w:p w14:paraId="001A0264" w14:textId="3A526FD3" w:rsidR="00C15EA3" w:rsidRPr="00962F6B" w:rsidRDefault="00A02590" w:rsidP="000B1C54">
      <w:pPr>
        <w:adjustRightInd w:val="0"/>
        <w:snapToGrid w:val="0"/>
        <w:ind w:firstLine="560"/>
        <w:rPr>
          <w:color w:val="000000" w:themeColor="text1"/>
        </w:rPr>
      </w:pPr>
      <w:r w:rsidRPr="00962F6B">
        <w:rPr>
          <w:rFonts w:ascii="楷体" w:eastAsia="楷体" w:hAnsi="楷体" w:cs="宋体" w:hint="eastAsia"/>
          <w:color w:val="000000" w:themeColor="text1"/>
          <w:sz w:val="28"/>
          <w:szCs w:val="28"/>
        </w:rPr>
        <w:t>以上显示和描述了本发明的基本原理、主要特征和本发明的优点。本行业的技术人员应该了解，本发明不受上述实施例的限制，上述实施例和说明书中描述的仅为本发明的优选例，并不用来限制本发明，在不脱离本发明精神和范围的前提下，本发明还会有各种变化和改进，这些变化和改进都落入要求保护的本发明范围内。本发明要求保护范围由所附的权利要求书及其等效物界定。</w:t>
      </w:r>
    </w:p>
    <w:sectPr w:rsidR="00C15EA3" w:rsidRPr="00962F6B"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nfeng xu" w:date="2026-04-02T11:44:00Z" w:initials="jx">
    <w:p w14:paraId="5A2F3C9D" w14:textId="77777777" w:rsidR="000F308A" w:rsidRDefault="000F308A" w:rsidP="000F308A">
      <w:pPr>
        <w:pStyle w:val="af3"/>
      </w:pPr>
      <w:r>
        <w:rPr>
          <w:rStyle w:val="af2"/>
        </w:rPr>
        <w:annotationRef/>
      </w:r>
      <w:r>
        <w:rPr>
          <w:rFonts w:hint="eastAsia"/>
        </w:rPr>
        <w:t>具体实施方式中，那部分内容是对应图</w:t>
      </w:r>
      <w:r>
        <w:rPr>
          <w:rFonts w:hint="eastAsia"/>
        </w:rPr>
        <w:t>2</w:t>
      </w:r>
      <w:r>
        <w:rPr>
          <w:rFonts w:hint="eastAsia"/>
        </w:rPr>
        <w:t>和图</w:t>
      </w:r>
      <w:r>
        <w:rPr>
          <w:rFonts w:hint="eastAsia"/>
        </w:rPr>
        <w:t>3</w:t>
      </w:r>
      <w:r>
        <w:rPr>
          <w:rFonts w:hint="eastAsia"/>
        </w:rPr>
        <w:t>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2F3C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DF0FF3" w16cex:dateUtc="2026-04-02T0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2F3C9D" w16cid:durableId="43DF0F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E3A58" w14:textId="77777777" w:rsidR="007D3BA5" w:rsidRDefault="007D3BA5">
      <w:pPr>
        <w:spacing w:line="240" w:lineRule="auto"/>
        <w:ind w:firstLine="480"/>
      </w:pPr>
      <w:r>
        <w:separator/>
      </w:r>
    </w:p>
  </w:endnote>
  <w:endnote w:type="continuationSeparator" w:id="0">
    <w:p w14:paraId="6E1B0159" w14:textId="77777777" w:rsidR="007D3BA5" w:rsidRDefault="007D3BA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5A4F" w14:textId="77777777" w:rsidR="000B1C54" w:rsidRDefault="000B1C54">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DA29"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F9E6F" w14:textId="77777777" w:rsidR="000B1C54" w:rsidRDefault="000B1C5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EF31F" w14:textId="77777777" w:rsidR="007D3BA5" w:rsidRDefault="007D3BA5">
      <w:pPr>
        <w:ind w:firstLine="480"/>
      </w:pPr>
      <w:r>
        <w:separator/>
      </w:r>
    </w:p>
  </w:footnote>
  <w:footnote w:type="continuationSeparator" w:id="0">
    <w:p w14:paraId="5052B08E" w14:textId="77777777" w:rsidR="007D3BA5" w:rsidRDefault="007D3BA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BC80" w14:textId="77777777" w:rsidR="000B1C54" w:rsidRDefault="000B1C54">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6011" w14:textId="589E774F" w:rsidR="00F66D7B" w:rsidRDefault="00F66D7B">
    <w:pPr>
      <w:pBdr>
        <w:bottom w:val="single" w:sz="4" w:space="1" w:color="auto"/>
      </w:pBdr>
      <w:ind w:firstLineChars="0" w:firstLine="0"/>
      <w:jc w:val="center"/>
      <w:outlineLvl w:val="0"/>
      <w:rPr>
        <w:szCs w:val="28"/>
      </w:rPr>
    </w:pPr>
    <w:r>
      <w:rPr>
        <w:rFonts w:hint="eastAsia"/>
        <w:b/>
        <w:bCs/>
        <w:sz w:val="32"/>
        <w:szCs w:val="28"/>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9746" w14:textId="77777777" w:rsidR="000B1C54" w:rsidRDefault="000B1C54">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5C381DAA"/>
    <w:multiLevelType w:val="multilevel"/>
    <w:tmpl w:val="90A6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76BD5981"/>
    <w:multiLevelType w:val="singleLevel"/>
    <w:tmpl w:val="76BD5981"/>
    <w:lvl w:ilvl="0">
      <w:start w:val="1"/>
      <w:numFmt w:val="decimal"/>
      <w:suff w:val="nothing"/>
      <w:lvlText w:val="（%1）"/>
      <w:lvlJc w:val="left"/>
    </w:lvl>
  </w:abstractNum>
  <w:abstractNum w:abstractNumId="8" w15:restartNumberingAfterBreak="0">
    <w:nsid w:val="7C342F5A"/>
    <w:multiLevelType w:val="multilevel"/>
    <w:tmpl w:val="B3D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621802">
    <w:abstractNumId w:val="4"/>
  </w:num>
  <w:num w:numId="2" w16cid:durableId="921526242">
    <w:abstractNumId w:val="3"/>
  </w:num>
  <w:num w:numId="3" w16cid:durableId="716470330">
    <w:abstractNumId w:val="7"/>
  </w:num>
  <w:num w:numId="4" w16cid:durableId="394476653">
    <w:abstractNumId w:val="2"/>
  </w:num>
  <w:num w:numId="5" w16cid:durableId="1135414066">
    <w:abstractNumId w:val="1"/>
  </w:num>
  <w:num w:numId="6" w16cid:durableId="1330601005">
    <w:abstractNumId w:val="0"/>
  </w:num>
  <w:num w:numId="7" w16cid:durableId="783965952">
    <w:abstractNumId w:val="6"/>
  </w:num>
  <w:num w:numId="8" w16cid:durableId="547686920">
    <w:abstractNumId w:val="5"/>
  </w:num>
  <w:num w:numId="9" w16cid:durableId="58171843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51A0"/>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1C54"/>
    <w:rsid w:val="000B21CD"/>
    <w:rsid w:val="000B2CC4"/>
    <w:rsid w:val="000C279E"/>
    <w:rsid w:val="000C3327"/>
    <w:rsid w:val="000C44DB"/>
    <w:rsid w:val="000D1074"/>
    <w:rsid w:val="000D55C3"/>
    <w:rsid w:val="000D5E04"/>
    <w:rsid w:val="000D6380"/>
    <w:rsid w:val="000D72F6"/>
    <w:rsid w:val="000E0AD6"/>
    <w:rsid w:val="000F308A"/>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2BD"/>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FDD"/>
    <w:rsid w:val="002B48EE"/>
    <w:rsid w:val="002B5E20"/>
    <w:rsid w:val="002B6616"/>
    <w:rsid w:val="002C0B68"/>
    <w:rsid w:val="002C193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436"/>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41E"/>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6B5"/>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5DBD"/>
    <w:rsid w:val="00686895"/>
    <w:rsid w:val="006929AA"/>
    <w:rsid w:val="00695BB6"/>
    <w:rsid w:val="006A3F32"/>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07603"/>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D3BA5"/>
    <w:rsid w:val="007E2E9F"/>
    <w:rsid w:val="007E3396"/>
    <w:rsid w:val="007E4407"/>
    <w:rsid w:val="007E6E99"/>
    <w:rsid w:val="007E7F1A"/>
    <w:rsid w:val="007F28E3"/>
    <w:rsid w:val="007F3A74"/>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7295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62F6B"/>
    <w:rsid w:val="00971BC5"/>
    <w:rsid w:val="0098185C"/>
    <w:rsid w:val="00986055"/>
    <w:rsid w:val="00986369"/>
    <w:rsid w:val="0099088A"/>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9F6A29"/>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5C4C"/>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44F9B"/>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430D"/>
    <w:rsid w:val="00BD75EF"/>
    <w:rsid w:val="00BE1D4A"/>
    <w:rsid w:val="00BE6222"/>
    <w:rsid w:val="00BE6A45"/>
    <w:rsid w:val="00BF1B1B"/>
    <w:rsid w:val="00BF4F18"/>
    <w:rsid w:val="00BF5FA7"/>
    <w:rsid w:val="00BF68E8"/>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22F9"/>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3D96"/>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C7E85"/>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4463C"/>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paragraph" w:styleId="2">
    <w:name w:val="heading 2"/>
    <w:basedOn w:val="a"/>
    <w:next w:val="a"/>
    <w:link w:val="20"/>
    <w:uiPriority w:val="9"/>
    <w:semiHidden/>
    <w:unhideWhenUsed/>
    <w:qFormat/>
    <w:rsid w:val="00962F6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 w:type="character" w:customStyle="1" w:styleId="20">
    <w:name w:val="标题 2 字符"/>
    <w:basedOn w:val="a0"/>
    <w:link w:val="2"/>
    <w:uiPriority w:val="9"/>
    <w:semiHidden/>
    <w:rsid w:val="00962F6B"/>
    <w:rPr>
      <w:rFonts w:asciiTheme="majorHAnsi" w:eastAsiaTheme="majorEastAsia"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13</Pages>
  <Words>4735</Words>
  <Characters>4735</Characters>
  <Application>Microsoft Office Word</Application>
  <DocSecurity>0</DocSecurity>
  <Lines>4735</Lines>
  <Paragraphs>3156</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210</cp:revision>
  <dcterms:created xsi:type="dcterms:W3CDTF">2023-11-14T09:22:00Z</dcterms:created>
  <dcterms:modified xsi:type="dcterms:W3CDTF">2026-04-02T03:47:00Z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