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lastRenderedPageBreak/>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xml:space="preserve">- The scale in the figures should be with a white background, there is no need to waste ink! </w:t>
      </w:r>
      <w:proofErr w:type="gramStart"/>
      <w:r w:rsidRPr="007763CF">
        <w:rPr>
          <w:rFonts w:eastAsia="Times New Roman" w:cs="Times New Roman"/>
          <w:sz w:val="20"/>
          <w:szCs w:val="20"/>
          <w:lang w:eastAsia="en-GB"/>
        </w:rPr>
        <w:t>( In</w:t>
      </w:r>
      <w:proofErr w:type="gramEnd"/>
      <w:r w:rsidRPr="007763CF">
        <w:rPr>
          <w:rFonts w:eastAsia="Times New Roman" w:cs="Times New Roman"/>
          <w:sz w:val="20"/>
          <w:szCs w:val="20"/>
          <w:lang w:eastAsia="en-GB"/>
        </w:rPr>
        <w:t xml:space="preserve">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w:t>
      </w:r>
      <w:r w:rsidRPr="006A5A99">
        <w:rPr>
          <w:rFonts w:eastAsia="Times New Roman" w:cs="Tahoma"/>
          <w:color w:val="FF0000"/>
          <w:sz w:val="20"/>
          <w:szCs w:val="20"/>
          <w:lang w:eastAsia="en-GB"/>
        </w:rPr>
        <w:t>P1DG-P1DG</w:t>
      </w:r>
      <w:r w:rsidRPr="006A5A99">
        <w:rPr>
          <w:rFonts w:eastAsia="Times New Roman" w:cs="Tahoma"/>
          <w:color w:val="FF0000"/>
          <w:sz w:val="20"/>
          <w:szCs w:val="20"/>
          <w:lang w:eastAsia="en-GB"/>
        </w:rPr>
        <w:t xml:space="preserve">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CB0632" w:rsidRDefault="00810232" w:rsidP="00CB0632">
      <w:pPr>
        <w:pStyle w:val="ListParagraph"/>
        <w:numPr>
          <w:ilvl w:val="0"/>
          <w:numId w:val="1"/>
        </w:numPr>
        <w:spacing w:before="0" w:beforeAutospacing="0" w:after="0" w:afterAutospacing="0"/>
        <w:jc w:val="both"/>
        <w:rPr>
          <w:rFonts w:asciiTheme="minorHAnsi" w:hAnsiTheme="minorHAnsi"/>
          <w:sz w:val="20"/>
          <w:szCs w:val="20"/>
        </w:rPr>
      </w:pPr>
      <w:r w:rsidRPr="00CB0632">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CB0632" w:rsidRDefault="00CB0632" w:rsidP="00CB0632">
      <w:pPr>
        <w:autoSpaceDE w:val="0"/>
        <w:autoSpaceDN w:val="0"/>
        <w:adjustRightInd w:val="0"/>
        <w:spacing w:after="0" w:line="240" w:lineRule="auto"/>
        <w:jc w:val="both"/>
        <w:rPr>
          <w:rFonts w:cs="CMR12"/>
          <w:color w:val="7030A0"/>
          <w:sz w:val="20"/>
          <w:szCs w:val="20"/>
        </w:rPr>
      </w:pPr>
      <w:r w:rsidRPr="00CB0632">
        <w:rPr>
          <w:rFonts w:cs="CMR12"/>
          <w:color w:val="7030A0"/>
          <w:sz w:val="20"/>
          <w:szCs w:val="20"/>
        </w:rPr>
        <w:t>Capillary pressure is a</w:t>
      </w:r>
      <w:r w:rsidRPr="00CB0632">
        <w:rPr>
          <w:rFonts w:cs="CMR12"/>
          <w:color w:val="7030A0"/>
          <w:sz w:val="20"/>
          <w:szCs w:val="20"/>
        </w:rPr>
        <w:t xml:space="preserve"> </w:t>
      </w:r>
      <w:r w:rsidRPr="00CB0632">
        <w:rPr>
          <w:rFonts w:cs="CMR12"/>
          <w:color w:val="7030A0"/>
          <w:sz w:val="20"/>
          <w:szCs w:val="20"/>
        </w:rPr>
        <w:t>non-linear function of saturation which makes the governing parabolic equations</w:t>
      </w:r>
      <w:r w:rsidRPr="00CB0632">
        <w:rPr>
          <w:rFonts w:cs="CMR12"/>
          <w:color w:val="7030A0"/>
          <w:sz w:val="20"/>
          <w:szCs w:val="20"/>
        </w:rPr>
        <w:t xml:space="preserve"> </w:t>
      </w:r>
      <w:r w:rsidRPr="00CB0632">
        <w:rPr>
          <w:rFonts w:cs="CMR12"/>
          <w:color w:val="7030A0"/>
          <w:sz w:val="20"/>
          <w:szCs w:val="20"/>
        </w:rPr>
        <w:t xml:space="preserve">highly non-linear. </w:t>
      </w:r>
      <w:r w:rsidRPr="00CB0632">
        <w:rPr>
          <w:rFonts w:cs="CMR12"/>
          <w:color w:val="7030A0"/>
          <w:sz w:val="20"/>
          <w:szCs w:val="20"/>
        </w:rPr>
        <w:t>E</w:t>
      </w:r>
      <w:r w:rsidRPr="00CB0632">
        <w:rPr>
          <w:rFonts w:cs="CMR12"/>
          <w:color w:val="7030A0"/>
          <w:sz w:val="20"/>
          <w:szCs w:val="20"/>
        </w:rPr>
        <w:t>ffect of capillary pressure in</w:t>
      </w:r>
      <w:r w:rsidRPr="00CB0632">
        <w:rPr>
          <w:rFonts w:cs="CMR12"/>
          <w:color w:val="7030A0"/>
          <w:sz w:val="20"/>
          <w:szCs w:val="20"/>
        </w:rPr>
        <w:t xml:space="preserve"> </w:t>
      </w:r>
      <w:r w:rsidRPr="00CB0632">
        <w:rPr>
          <w:rFonts w:cs="CMR12"/>
          <w:color w:val="7030A0"/>
          <w:sz w:val="20"/>
          <w:szCs w:val="20"/>
        </w:rPr>
        <w:t>immiscible porous media flows is similar to the effect of surface tension in Hele-Shaw flows</w:t>
      </w:r>
      <w:r w:rsidRPr="00CB0632">
        <w:rPr>
          <w:rFonts w:cs="CMR12"/>
          <w:color w:val="7030A0"/>
          <w:sz w:val="20"/>
          <w:szCs w:val="20"/>
        </w:rPr>
        <w:t xml:space="preserve"> of two immiscible fluids</w:t>
      </w:r>
      <w:r w:rsidRPr="00CB0632">
        <w:rPr>
          <w:rFonts w:cs="CMR12"/>
          <w:color w:val="7030A0"/>
          <w:sz w:val="20"/>
          <w:szCs w:val="20"/>
        </w:rPr>
        <w:t xml:space="preserve">; </w:t>
      </w:r>
      <w:r w:rsidRPr="00CB0632">
        <w:rPr>
          <w:rFonts w:cs="CMR12"/>
          <w:color w:val="7030A0"/>
          <w:sz w:val="20"/>
          <w:szCs w:val="20"/>
        </w:rPr>
        <w:t xml:space="preserve">Also, </w:t>
      </w:r>
      <w:r w:rsidRPr="00CB0632">
        <w:rPr>
          <w:rFonts w:cs="CMR12"/>
          <w:color w:val="7030A0"/>
          <w:sz w:val="20"/>
          <w:szCs w:val="20"/>
        </w:rPr>
        <w:t>conditions under which</w:t>
      </w:r>
      <w:r w:rsidRPr="00CB0632">
        <w:rPr>
          <w:rFonts w:cs="CMR12"/>
          <w:color w:val="7030A0"/>
          <w:sz w:val="20"/>
          <w:szCs w:val="20"/>
        </w:rPr>
        <w:t xml:space="preserve"> </w:t>
      </w:r>
      <w:r w:rsidRPr="00CB0632">
        <w:rPr>
          <w:rFonts w:cs="CMR12"/>
          <w:color w:val="7030A0"/>
          <w:sz w:val="20"/>
          <w:szCs w:val="20"/>
        </w:rPr>
        <w:t>such capillary slowdown of instability can be enhanced are desirable in many applications.</w:t>
      </w:r>
      <w:r w:rsidRPr="00CB0632">
        <w:rPr>
          <w:rFonts w:cs="CMR12"/>
          <w:color w:val="7030A0"/>
          <w:sz w:val="20"/>
          <w:szCs w:val="20"/>
        </w:rPr>
        <w:t xml:space="preserve"> </w:t>
      </w:r>
      <w:r w:rsidRPr="00CB0632">
        <w:rPr>
          <w:rFonts w:cs="CMR12"/>
          <w:color w:val="7030A0"/>
          <w:sz w:val="20"/>
          <w:szCs w:val="20"/>
        </w:rPr>
        <w:t>Such conditions, if they exist, may not be easy to find</w:t>
      </w:r>
      <w:r w:rsidRPr="00CB0632">
        <w:rPr>
          <w:rFonts w:cs="CMR12"/>
          <w:color w:val="7030A0"/>
          <w:sz w:val="20"/>
          <w:szCs w:val="20"/>
        </w:rPr>
        <w:t xml:space="preserve"> (They can be found in a case of </w:t>
      </w:r>
      <w:r w:rsidRPr="00CB0632">
        <w:rPr>
          <w:rFonts w:cs="CMR12"/>
          <w:color w:val="7030A0"/>
          <w:sz w:val="20"/>
          <w:szCs w:val="20"/>
        </w:rPr>
        <w:t>enhancing oil recovery</w:t>
      </w:r>
      <w:r w:rsidRPr="00CB0632">
        <w:rPr>
          <w:rFonts w:cs="CMR12"/>
          <w:color w:val="7030A0"/>
          <w:sz w:val="20"/>
          <w:szCs w:val="20"/>
        </w:rPr>
        <w:t xml:space="preserve"> see, </w:t>
      </w:r>
      <w:r w:rsidRPr="00CB0632">
        <w:rPr>
          <w:rFonts w:cs="CMCSC10"/>
          <w:color w:val="7030A0"/>
          <w:sz w:val="20"/>
          <w:szCs w:val="20"/>
        </w:rPr>
        <w:t xml:space="preserve">P. </w:t>
      </w:r>
      <w:proofErr w:type="spellStart"/>
      <w:r w:rsidRPr="00CB0632">
        <w:rPr>
          <w:rFonts w:cs="CMCSC10"/>
          <w:color w:val="7030A0"/>
          <w:sz w:val="20"/>
          <w:szCs w:val="20"/>
        </w:rPr>
        <w:t>Daripa</w:t>
      </w:r>
      <w:proofErr w:type="spellEnd"/>
      <w:r w:rsidRPr="00CB0632">
        <w:rPr>
          <w:rFonts w:cs="CMCSC10"/>
          <w:color w:val="7030A0"/>
          <w:sz w:val="20"/>
          <w:szCs w:val="20"/>
        </w:rPr>
        <w:t xml:space="preserve">, J. </w:t>
      </w:r>
      <w:proofErr w:type="spellStart"/>
      <w:r w:rsidRPr="00CB0632">
        <w:rPr>
          <w:rFonts w:cs="CMCSC10"/>
          <w:color w:val="7030A0"/>
          <w:sz w:val="20"/>
          <w:szCs w:val="20"/>
        </w:rPr>
        <w:t>Glimm</w:t>
      </w:r>
      <w:proofErr w:type="spellEnd"/>
      <w:r w:rsidRPr="00CB0632">
        <w:rPr>
          <w:rFonts w:cs="CMCSC10"/>
          <w:color w:val="7030A0"/>
          <w:sz w:val="20"/>
          <w:szCs w:val="20"/>
        </w:rPr>
        <w:t xml:space="preserve">, B. Lindquist, and O. </w:t>
      </w:r>
      <w:proofErr w:type="spellStart"/>
      <w:r w:rsidRPr="00CB0632">
        <w:rPr>
          <w:rFonts w:cs="CMCSC10"/>
          <w:color w:val="7030A0"/>
          <w:sz w:val="20"/>
          <w:szCs w:val="20"/>
        </w:rPr>
        <w:t>McBryan</w:t>
      </w:r>
      <w:proofErr w:type="spellEnd"/>
      <w:r w:rsidRPr="00CB0632">
        <w:rPr>
          <w:rFonts w:cs="CMR12"/>
          <w:color w:val="7030A0"/>
          <w:sz w:val="20"/>
          <w:szCs w:val="20"/>
        </w:rPr>
        <w:t xml:space="preserve">, </w:t>
      </w:r>
      <w:r w:rsidRPr="00CB0632">
        <w:rPr>
          <w:rFonts w:cs="CMTI12"/>
          <w:color w:val="7030A0"/>
          <w:sz w:val="20"/>
          <w:szCs w:val="20"/>
        </w:rPr>
        <w:t>Polymer Floods: A Case</w:t>
      </w:r>
      <w:r w:rsidRPr="00CB0632">
        <w:rPr>
          <w:rFonts w:cs="CMTI12"/>
          <w:color w:val="7030A0"/>
          <w:sz w:val="20"/>
          <w:szCs w:val="20"/>
        </w:rPr>
        <w:t xml:space="preserve"> </w:t>
      </w:r>
      <w:r w:rsidRPr="00CB0632">
        <w:rPr>
          <w:rFonts w:cs="CMTI12"/>
          <w:color w:val="7030A0"/>
          <w:sz w:val="20"/>
          <w:szCs w:val="20"/>
        </w:rPr>
        <w:t>Study of Nonlinear Wave Analysis and Instability Control in Tertiary Oil Recovery</w:t>
      </w:r>
      <w:r w:rsidRPr="00CB0632">
        <w:rPr>
          <w:rFonts w:cs="CMR12"/>
          <w:color w:val="7030A0"/>
          <w:sz w:val="20"/>
          <w:szCs w:val="20"/>
        </w:rPr>
        <w:t>,</w:t>
      </w:r>
      <w:r w:rsidRPr="00CB0632">
        <w:rPr>
          <w:rFonts w:cs="CMR12"/>
          <w:color w:val="7030A0"/>
          <w:sz w:val="20"/>
          <w:szCs w:val="20"/>
        </w:rPr>
        <w:t xml:space="preserve"> </w:t>
      </w:r>
      <w:r w:rsidRPr="00CB0632">
        <w:rPr>
          <w:rFonts w:cs="CMR12"/>
          <w:color w:val="7030A0"/>
          <w:sz w:val="20"/>
          <w:szCs w:val="20"/>
        </w:rPr>
        <w:t>SIAM J. Appl. Math., 49 (1988), pp. 353-373.</w:t>
      </w:r>
      <w:r w:rsidRPr="00CB0632">
        <w:rPr>
          <w:rFonts w:cs="CMR12"/>
          <w:color w:val="7030A0"/>
          <w:sz w:val="20"/>
          <w:szCs w:val="20"/>
        </w:rPr>
        <w:t>).</w:t>
      </w:r>
    </w:p>
    <w:p w:rsidR="00CB0632" w:rsidRPr="000E1EF5" w:rsidRDefault="00CB0632" w:rsidP="00CB0632">
      <w:pPr>
        <w:autoSpaceDE w:val="0"/>
        <w:autoSpaceDN w:val="0"/>
        <w:adjustRightInd w:val="0"/>
        <w:spacing w:after="0" w:line="240" w:lineRule="auto"/>
        <w:rPr>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D83DA0"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D83DA0">
        <w:rPr>
          <w:rFonts w:asciiTheme="minorHAnsi" w:hAnsiTheme="minorHAnsi"/>
          <w:sz w:val="20"/>
          <w:szCs w:val="20"/>
        </w:rPr>
        <w:t>Velocity of the order of 1 cm/s is too high.</w:t>
      </w:r>
    </w:p>
    <w:p w:rsidR="00D83DA0" w:rsidRPr="00D83DA0" w:rsidRDefault="00D83DA0" w:rsidP="00D83DA0">
      <w:pPr>
        <w:pStyle w:val="ListParagraph"/>
        <w:spacing w:before="0" w:beforeAutospacing="0" w:after="0" w:afterAutospacing="0"/>
        <w:jc w:val="both"/>
        <w:rPr>
          <w:rFonts w:asciiTheme="minorHAnsi" w:hAnsiTheme="minorHAnsi"/>
          <w:color w:val="FF0000"/>
          <w:sz w:val="20"/>
          <w:szCs w:val="20"/>
        </w:rPr>
      </w:pPr>
      <w:proofErr w:type="gramStart"/>
      <w:r w:rsidRPr="00D83DA0">
        <w:rPr>
          <w:rFonts w:asciiTheme="minorHAnsi" w:hAnsiTheme="minorHAnsi"/>
          <w:color w:val="FF0000"/>
          <w:sz w:val="20"/>
          <w:szCs w:val="20"/>
        </w:rPr>
        <w:t>JG comment?</w:t>
      </w:r>
      <w:proofErr w:type="gramEnd"/>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w:t>
      </w:r>
      <w:r w:rsidRPr="000E1EF5">
        <w:rPr>
          <w:rFonts w:asciiTheme="minorHAnsi" w:hAnsiTheme="minorHAnsi"/>
          <w:sz w:val="20"/>
          <w:szCs w:val="20"/>
        </w:rPr>
        <w:t xml:space="preserve"> </w:t>
      </w:r>
      <w:r w:rsidRPr="000E1EF5">
        <w:rPr>
          <w:rFonts w:asciiTheme="minorHAnsi" w:hAnsiTheme="minorHAnsi"/>
          <w:sz w:val="20"/>
          <w:szCs w:val="20"/>
        </w:rPr>
        <w:t>-</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Pr="002330F7" w:rsidRDefault="00810232" w:rsidP="00810232">
      <w:pPr>
        <w:spacing w:after="0" w:line="240" w:lineRule="auto"/>
        <w:ind w:hanging="360"/>
        <w:jc w:val="both"/>
        <w:rPr>
          <w:rFonts w:eastAsia="Times New Roman" w:cs="Times New Roman"/>
          <w:sz w:val="20"/>
          <w:szCs w:val="20"/>
          <w:lang w:eastAsia="en-GB"/>
        </w:rPr>
      </w:pPr>
      <w:bookmarkStart w:id="0" w:name="_GoBack"/>
      <w:bookmarkEnd w:id="0"/>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1A1AAE"/>
    <w:rsid w:val="00200AE5"/>
    <w:rsid w:val="00244075"/>
    <w:rsid w:val="00686F55"/>
    <w:rsid w:val="006A5A99"/>
    <w:rsid w:val="00810232"/>
    <w:rsid w:val="008178FC"/>
    <w:rsid w:val="00916652"/>
    <w:rsid w:val="00A10F98"/>
    <w:rsid w:val="00CB0632"/>
    <w:rsid w:val="00D54256"/>
    <w:rsid w:val="00D83DA0"/>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17</cp:revision>
  <dcterms:created xsi:type="dcterms:W3CDTF">2018-05-04T10:52:00Z</dcterms:created>
  <dcterms:modified xsi:type="dcterms:W3CDTF">2018-05-04T13:31:00Z</dcterms:modified>
</cp:coreProperties>
</file>