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跨神经系统的统一训练—学习—推理—强化动力学</w:t>
      </w:r>
    </w:p>
    <w:p>
      <w:pPr>
        <w:pStyle w:val="Subtitle"/>
      </w:pPr>
      <w:r>
        <w:t xml:space="preserve">CVPR</w:t>
      </w:r>
      <w:r>
        <w:t xml:space="preserve"> </w:t>
      </w:r>
      <w:r>
        <w:t xml:space="preserve">2027</w:t>
      </w:r>
      <w:r>
        <w:t xml:space="preserve"> </w:t>
      </w:r>
      <w:r>
        <w:t xml:space="preserve">会议版论文</w:t>
      </w:r>
      <w:r>
        <w:t xml:space="preserve"> </w:t>
      </w:r>
      <w:r>
        <w:t xml:space="preserve">·</w:t>
      </w:r>
      <w:r>
        <w:t xml:space="preserve"> </w:t>
      </w:r>
      <w:r>
        <w:t xml:space="preserve">忠实中文译稿</w:t>
      </w:r>
    </w:p>
    <w:p>
      <w:pPr>
        <w:pStyle w:val="Author"/>
      </w:pPr>
      <w:r>
        <w:t xml:space="preserve">原稿署名：匿名</w:t>
      </w:r>
      <w:r>
        <w:t xml:space="preserve"> </w:t>
      </w:r>
      <w:r>
        <w:t xml:space="preserve">CVPR</w:t>
      </w:r>
      <w:r>
        <w:t xml:space="preserve"> </w:t>
      </w:r>
      <w:r>
        <w:t xml:space="preserve">投稿（Anonymous</w:t>
      </w:r>
      <w:r>
        <w:t xml:space="preserve"> </w:t>
      </w:r>
      <w:r>
        <w:t xml:space="preserve">CVPR</w:t>
      </w:r>
      <w:r>
        <w:t xml:space="preserve"> </w:t>
      </w:r>
      <w:r>
        <w:t xml:space="preserve">Submission）</w:t>
      </w:r>
    </w:p>
    <w:p>
      <w:pPr>
        <w:pStyle w:val="BlockText"/>
      </w:pPr>
      <w:r>
        <w:rPr>
          <w:b/>
          <w:bCs/>
        </w:rPr>
        <w:t xml:space="preserve">译稿说明</w:t>
      </w:r>
      <w:r>
        <w:t xml:space="preserve">：本稿逐节翻译</w:t>
      </w:r>
      <w:r>
        <w:t xml:space="preserve"> </w:t>
      </w:r>
      <w:r>
        <w:rPr>
          <w:b/>
          <w:bCs/>
        </w:rPr>
        <w:t xml:space="preserve">TLIR — CVPR 2027 会议版</w:t>
      </w:r>
      <w:r>
        <w:t xml:space="preserve">，以</w:t>
      </w:r>
      <w:r>
        <w:t xml:space="preserve"> </w:t>
      </w:r>
      <w:r>
        <w:rPr>
          <w:rStyle w:val="VerbatimChar"/>
        </w:rPr>
        <w:t xml:space="preserve">tlir-cvpr2027-format/manuscripts/tlir_cvpr2027/main.tex</w:t>
      </w:r>
      <w:r>
        <w:t xml:space="preserve"> </w:t>
      </w:r>
      <w:r>
        <w:t xml:space="preserve">与对应正式 PDF 为依据，而非后来改写的 Science/Gemini 版。原章节结构、科学主张、实验索引、数据、公式及研究顺序均保留。论文内图形沿用会议版原图（图内英文不另行改绘），图题与图注已翻译；参考文献书目信息按原英文保留。</w:t>
      </w:r>
    </w:p>
    <w:bookmarkStart w:id="20" w:name="摘要"/>
    <w:p>
      <w:pPr>
        <w:pStyle w:val="Heading1"/>
      </w:pPr>
      <w:r>
        <w:t xml:space="preserve">摘要</w:t>
      </w:r>
    </w:p>
    <w:p>
      <w:pPr>
        <w:pStyle w:val="FirstParagraph"/>
      </w:pPr>
      <w:r>
        <w:t xml:space="preserve">我们研究跨神经系统的统一训练—学习—推理—强化（Training–Learning–Inference–Reinforcement，TLIR）动力学。训练表现为参数—优化器状态的演化：同一个实际发生的更新，在不同接收状态下可能产生不同的有限振幅功能响应。学习使分布式功能支撑发生持久重组；当目标的功能状态跨越其读出边界时，其能力状态随之改变。推理在持久学习状态保持冻结的条件下，调用并组合已经学得的功能支撑；强化则将环境后果与后续训练动作联系起来。我们首先在 nanoGPT 中确立相互连接的训练—学习—推理（TLI）关系，随后在 ResNet-18、扩散 U-Net、路由式 Vision-MoE、图神经网络以及硬脉冲循环网络中检验这些关系。实验包括实际更新交换、有限振幅响应路径、组件联盟干预、目标边界测量，以及对精确训练版本进行回滚的冻结推理。一个由理论导出的目标边界预测器，可跨架构分类已形成更新所引起的即时结果。在第七种系统——共享 GRU 策略——中，RL-E05/E06 研究正确反馈的集中如何改变功能支撑、削弱其他已经掌握的能力，以及重新分配反馈如何使这些能力恢复。综合结果为训练动作、学习、推理和强化提供了一个能够沿实验过程追溯的统一解释。</w:t>
      </w:r>
    </w:p>
    <w:bookmarkEnd w:id="20"/>
    <w:bookmarkStart w:id="24" w:name="引言"/>
    <w:p>
      <w:pPr>
        <w:pStyle w:val="Heading1"/>
      </w:pPr>
      <w:r>
        <w:t xml:space="preserve">1. 引言</w:t>
      </w:r>
    </w:p>
    <w:p>
      <w:pPr>
        <w:pStyle w:val="FirstParagraph"/>
      </w:pPr>
      <w:r>
        <w:t xml:space="preserve">训练、泛化、能力形成和推理是神经网络研究的核心问题。不同领域针对这些问题发展出了具有影响力的理论。</w:t>
      </w:r>
    </w:p>
    <w:p>
      <w:pPr>
        <w:pStyle w:val="BodyText"/>
      </w:pPr>
      <w:r>
        <w:t xml:space="preserve">在</w:t>
      </w:r>
      <w:r>
        <w:rPr>
          <w:b/>
          <w:bCs/>
        </w:rPr>
        <w:t xml:space="preserve">优化理论</w:t>
      </w:r>
      <w:r>
        <w:t xml:space="preserve">中，神经切线核（Neural Tangent Kernel，NTK）通过网络雅可比矩阵及其对应的核，描述特定训练状态下参数变化所引起的输出变化［Jacot 等，2018］。稳定性边缘（Edge of Stability）研究训练行为与 Hessian 最大特征值、学习率和损失轨迹之间的关系［Cohen 等，2021］。锐度感知最小化（Sharpness-Aware Minimization，SAM）利用参数邻域内的损失变化构造训练更新，以改善泛化能力［Foret 等，2021］。在这些理论中，</w:t>
      </w:r>
      <w:r>
        <w:rPr>
          <w:b/>
          <w:bCs/>
        </w:rPr>
        <w:t xml:space="preserve">当前状态</w:t>
      </w:r>
      <w:r>
        <w:t xml:space="preserve">通过参数以及参数的局部导数或曲率表示；</w:t>
      </w:r>
      <w:r>
        <w:rPr>
          <w:b/>
          <w:bCs/>
        </w:rPr>
        <w:t xml:space="preserve">实际更新</w:t>
      </w:r>
      <w:r>
        <w:t xml:space="preserve">由优化器产生；</w:t>
      </w:r>
      <w:r>
        <w:rPr>
          <w:b/>
          <w:bCs/>
        </w:rPr>
        <w:t xml:space="preserve">响应</w:t>
      </w:r>
      <w:r>
        <w:t xml:space="preserve">表现为模型输出或损失的变化。</w:t>
      </w:r>
    </w:p>
    <w:p>
      <w:pPr>
        <w:pStyle w:val="BodyText"/>
      </w:pPr>
      <w:r>
        <w:t xml:space="preserve">在</w:t>
      </w:r>
      <w:r>
        <w:rPr>
          <w:b/>
          <w:bCs/>
        </w:rPr>
        <w:t xml:space="preserve">表征学习与泛化</w:t>
      </w:r>
      <w:r>
        <w:t xml:space="preserve">研究中，频谱偏置（Spectral Bias）考察函数或核模态在不同频率上的学习速度［Rahaman 等，2019］。隐式偏置（Implicit Bias）研究优化器为何选择特定解，例如可分数据上的最大间隔方向［Soudry 等，2018］。神经坍缩（Neural Collapse）测量类别特征均值、类内差异和分类器几何结构，揭示训练准确率饱和后仍在持续发生的表征变化［Papyan 等，2020］。信息瓶颈理论研究输入、隐藏表征与目标之间的互信息，包括与任务有关的信息如何保留及压缩［Tishby 和 Zaslavsky，2015］。这些研究中的</w:t>
      </w:r>
      <w:r>
        <w:rPr>
          <w:b/>
          <w:bCs/>
        </w:rPr>
        <w:t xml:space="preserve">内部组织</w:t>
      </w:r>
      <w:r>
        <w:t xml:space="preserve">可以表现为频谱模态、优化器选择的解、特征几何或信息结构；</w:t>
      </w:r>
      <w:r>
        <w:rPr>
          <w:b/>
          <w:bCs/>
        </w:rPr>
        <w:t xml:space="preserve">功能变化</w:t>
      </w:r>
      <w:r>
        <w:t xml:space="preserve">则体现为学习速度、解的演化和预测表现。</w:t>
      </w:r>
    </w:p>
    <w:p>
      <w:pPr>
        <w:pStyle w:val="BodyText"/>
      </w:pPr>
      <w:r>
        <w:t xml:space="preserve">在</w:t>
      </w:r>
      <w:r>
        <w:rPr>
          <w:b/>
          <w:bCs/>
        </w:rPr>
        <w:t xml:space="preserve">能力形成</w:t>
      </w:r>
      <w:r>
        <w:t xml:space="preserve">研究中，Grokking 描述模型拟合训练样本与获得较强测试泛化能力之间存在较长延迟的现象［Power 等，2022］。随后的电路研究追踪这一延迟期间内部计算结构的形成与重组［Nanda 等，2023］。双重下降（Double Descent）研究测试误差如何在插值区域附近上升，然后随着模型规模、训练时间或数据条件变化再次下降［Belkin 等，2019；Nakkiran 等，2020］。这些研究通过训练阶段或插值状态衡量</w:t>
      </w:r>
      <w:r>
        <w:rPr>
          <w:b/>
          <w:bCs/>
        </w:rPr>
        <w:t xml:space="preserve">当前状态</w:t>
      </w:r>
      <w:r>
        <w:t xml:space="preserve">，通过电路与解的演化衡量</w:t>
      </w:r>
      <w:r>
        <w:rPr>
          <w:b/>
          <w:bCs/>
        </w:rPr>
        <w:t xml:space="preserve">内部变化</w:t>
      </w:r>
      <w:r>
        <w:t xml:space="preserve">，通过准确率和泛化误差衡量</w:t>
      </w:r>
      <w:r>
        <w:rPr>
          <w:b/>
          <w:bCs/>
        </w:rPr>
        <w:t xml:space="preserve">可观察能力</w:t>
      </w:r>
      <w:r>
        <w:t xml:space="preserve">。</w:t>
      </w:r>
    </w:p>
    <w:p>
      <w:pPr>
        <w:pStyle w:val="BodyText"/>
      </w:pPr>
      <w:r>
        <w:t xml:space="preserve">在</w:t>
      </w:r>
      <w:r>
        <w:rPr>
          <w:b/>
          <w:bCs/>
        </w:rPr>
        <w:t xml:space="preserve">持续学习</w:t>
      </w:r>
      <w:r>
        <w:t xml:space="preserve">中，新任务的训练降低模型在旧任务上的表现时，就会发生灾难性遗忘。弹性权重巩固（Elastic Weight Consolidation，EWC）使用旧任务的 Fisher 信息估计参数重要性，并惩罚重要参数的变化［Kirkpatrick 等，2017］。梯度情景记忆（Gradient Episodic Memory，GEM）利用新任务梯度与旧任务梯度之间的内积约束新更新［Lopez-Paz 和 Ranzato，2017］。正交梯度下降（Orthogonal Gradient Descent，OGD）把新梯度投影到近似保留旧任务输出的方向上［Farajtabar 等，2020］。在这些方法中，</w:t>
      </w:r>
      <w:r>
        <w:rPr>
          <w:b/>
          <w:bCs/>
        </w:rPr>
        <w:t xml:space="preserve">已有状态</w:t>
      </w:r>
      <w:r>
        <w:t xml:space="preserve">包括先前学得的参数和对函数敏感的方向；</w:t>
      </w:r>
      <w:r>
        <w:rPr>
          <w:b/>
          <w:bCs/>
        </w:rPr>
        <w:t xml:space="preserve">更新</w:t>
      </w:r>
      <w:r>
        <w:t xml:space="preserve">是受约束的新任务动作；</w:t>
      </w:r>
      <w:r>
        <w:rPr>
          <w:b/>
          <w:bCs/>
        </w:rPr>
        <w:t xml:space="preserve">相互作用</w:t>
      </w:r>
      <w:r>
        <w:t xml:space="preserve">通过重叠的梯度或功能子空间发生；</w:t>
      </w:r>
      <w:r>
        <w:rPr>
          <w:b/>
          <w:bCs/>
        </w:rPr>
        <w:t xml:space="preserve">能力变化</w:t>
      </w:r>
      <w:r>
        <w:t xml:space="preserve">以保持、遗忘或迁移来衡量。</w:t>
      </w:r>
    </w:p>
    <w:p>
      <w:pPr>
        <w:pStyle w:val="BodyText"/>
      </w:pPr>
      <w:r>
        <w:t xml:space="preserve">在</w:t>
      </w:r>
      <w:r>
        <w:rPr>
          <w:b/>
          <w:bCs/>
        </w:rPr>
        <w:t xml:space="preserve">推理研究</w:t>
      </w:r>
      <w:r>
        <w:t xml:space="preserve">中，注意力机制通过查询、键和值计算依赖输入的信息权重［Vaswani 等，2017］。上下文学习研究在模型参数不变的情况下，提供在上下文中的示例与任务信息如何影响预测［Brown 等，2020］。思维链提示研究中间推理步骤对复杂任务表现的影响［Wei 等，2022］。</w:t>
      </w:r>
      <w:r>
        <w:rPr>
          <w:b/>
          <w:bCs/>
        </w:rPr>
        <w:t xml:space="preserve">当前状态</w:t>
      </w:r>
      <w:r>
        <w:t xml:space="preserve">是已经训练的模型；</w:t>
      </w:r>
      <w:r>
        <w:rPr>
          <w:b/>
          <w:bCs/>
        </w:rPr>
        <w:t xml:space="preserve">输入条件</w:t>
      </w:r>
      <w:r>
        <w:t xml:space="preserve">包括查询、上下文和中间计算；</w:t>
      </w:r>
      <w:r>
        <w:rPr>
          <w:b/>
          <w:bCs/>
        </w:rPr>
        <w:t xml:space="preserve">内部计算</w:t>
      </w:r>
      <w:r>
        <w:t xml:space="preserve">随注意力和激活状态变化；</w:t>
      </w:r>
      <w:r>
        <w:rPr>
          <w:b/>
          <w:bCs/>
        </w:rPr>
        <w:t xml:space="preserve">功能表现</w:t>
      </w:r>
      <w:r>
        <w:t xml:space="preserve">由产生的预测来观察。</w:t>
      </w:r>
    </w:p>
    <w:p>
      <w:pPr>
        <w:pStyle w:val="BodyText"/>
      </w:pPr>
      <w:r>
        <w:t xml:space="preserve">在</w:t>
      </w:r>
      <w:r>
        <w:rPr>
          <w:b/>
          <w:bCs/>
        </w:rPr>
        <w:t xml:space="preserve">强化与反馈驱动训练</w:t>
      </w:r>
      <w:r>
        <w:t xml:space="preserve">中，基于人类反馈的强化学习（RLHF）利用偏好与奖励信号调整模型行为［Ouyang 等，2022］。自训练利用模型自身预测生成进一步的训练数据［Xie 等，2020］。递归模型坍缩研究考察连续多代模型使用前代生成的数据训练时，低概率模式如何丢失［Shumailov 等，2024］。这里，</w:t>
      </w:r>
      <w:r>
        <w:rPr>
          <w:b/>
          <w:bCs/>
        </w:rPr>
        <w:t xml:space="preserve">反馈</w:t>
      </w:r>
      <w:r>
        <w:t xml:space="preserve">通过奖励、偏好或生成数据分布提供；</w:t>
      </w:r>
      <w:r>
        <w:rPr>
          <w:b/>
          <w:bCs/>
        </w:rPr>
        <w:t xml:space="preserve">训练动作</w:t>
      </w:r>
      <w:r>
        <w:t xml:space="preserve">是由此产生的更新；随后的</w:t>
      </w:r>
      <w:r>
        <w:rPr>
          <w:b/>
          <w:bCs/>
        </w:rPr>
        <w:t xml:space="preserve">功能变化</w:t>
      </w:r>
      <w:r>
        <w:t xml:space="preserve">通过行为、准确率及生成分布观察。</w:t>
      </w:r>
    </w:p>
    <w:p>
      <w:pPr>
        <w:pStyle w:val="BodyText"/>
      </w:pPr>
      <w:r>
        <w:t xml:space="preserve">这些研究使用不同的数学对象——核、Hessian 矩阵、梯度、类别特征、互信息、任务分数、注意力权重与奖励信号——但仍可辨认出六类反复出现的要素：</w:t>
      </w:r>
      <w:r>
        <w:rPr>
          <w:b/>
          <w:bCs/>
        </w:rPr>
        <w:t xml:space="preserve">当前状态、实际更新、功能响应、内部组织、可观察能力和反馈</w:t>
      </w:r>
      <w:r>
        <w:t xml:space="preserve">。TLI 核心关系是在开展这种跨领域比较之前通过实验确立的；此处识别反复出现的变量，是为了帮助读者理解理论，而不是描述理论最初的发现过程。</w:t>
      </w:r>
    </w:p>
    <w:p>
      <w:pPr>
        <w:pStyle w:val="CaptionedFigure"/>
      </w:pPr>
      <w:r>
        <w:drawing>
          <wp:inline>
            <wp:extent cx="5537835" cy="1984160"/>
            <wp:effectExtent b="0" l="0" r="0" t="0"/>
            <wp:docPr descr="会议版图 1：TLIR 四个平级角色与反馈回路（原图保留）" title="" id="22" name="Picture"/>
            <a:graphic>
              <a:graphicData uri="http://schemas.openxmlformats.org/drawingml/2006/picture">
                <pic:pic>
                  <pic:nvPicPr>
                    <pic:cNvPr descr="figures/fig1.png" id="23" name="Picture"/>
                    <pic:cNvPicPr>
                      <a:picLocks noChangeArrowheads="1" noChangeAspect="1"/>
                    </pic:cNvPicPr>
                  </pic:nvPicPr>
                  <pic:blipFill>
                    <a:blip r:embed="rId21"/>
                    <a:stretch>
                      <a:fillRect/>
                    </a:stretch>
                  </pic:blipFill>
                  <pic:spPr bwMode="auto">
                    <a:xfrm>
                      <a:off x="0" y="0"/>
                      <a:ext cx="5537835" cy="1984160"/>
                    </a:xfrm>
                    <a:prstGeom prst="rect">
                      <a:avLst/>
                    </a:prstGeom>
                    <a:noFill/>
                    <a:ln w="9525">
                      <a:noFill/>
                      <a:headEnd/>
                      <a:tailEnd/>
                    </a:ln>
                  </pic:spPr>
                </pic:pic>
              </a:graphicData>
            </a:graphic>
          </wp:inline>
        </w:drawing>
      </w:r>
    </w:p>
    <w:p>
      <w:pPr>
        <w:pStyle w:val="ImageCaption"/>
      </w:pPr>
      <w:r>
        <w:t xml:space="preserve">会议版图 1：TLIR 四个平级角色与反馈回路（原图保留）</w:t>
      </w:r>
    </w:p>
    <w:p>
      <w:pPr>
        <w:pStyle w:val="BodyText"/>
      </w:pPr>
      <w:r>
        <w:rPr>
          <w:b/>
          <w:bCs/>
        </w:rPr>
        <w:t xml:space="preserve">图 1｜TLIR 的四个平级角色。</w:t>
      </w:r>
      <w:r>
        <w:t xml:space="preserve"> </w:t>
      </w:r>
      <w:r>
        <w:t xml:space="preserve">TLI 核心在六种神经系统中接受检验；RL-E05/E06 则通过共享 GRU 策略中的受控反馈重分配来检验强化过程。</w:t>
      </w:r>
    </w:p>
    <w:bookmarkEnd w:id="24"/>
    <w:bookmarkStart w:id="34" w:name="实验系统与方法"/>
    <w:p>
      <w:pPr>
        <w:pStyle w:val="Heading1"/>
      </w:pPr>
      <w:r>
        <w:t xml:space="preserve">2. 实验系统与方法</w:t>
      </w:r>
    </w:p>
    <w:bookmarkStart w:id="25" w:name="神经系统与索引化实验"/>
    <w:p>
      <w:pPr>
        <w:pStyle w:val="Heading2"/>
      </w:pPr>
      <w:r>
        <w:t xml:space="preserve">2.1 神经系统与索引化实验</w:t>
      </w:r>
    </w:p>
    <w:p>
      <w:pPr>
        <w:pStyle w:val="FirstParagraph"/>
      </w:pPr>
      <w:r>
        <w:t xml:space="preserve">TLI 核心关系首先通过 nanoGPT 中的 TL-E01～E08 和 INF-E01 确立，其中 TL-P01 检验一个预测性推论。随后，另外五种系统重新检验其相互连接的角色。RL-E05/E06 在第七种系统——共享 GRU 策略——中研究正确反馈如何重新分配已经学得的功能支撑，并改变已有能力的保持情况。表 1 列出已执行实验的系统和预先注册的功能组件组。</w:t>
      </w:r>
    </w:p>
    <w:p>
      <w:pPr>
        <w:pStyle w:val="BodyText"/>
      </w:pPr>
      <w:r>
        <w:rPr>
          <w:b/>
          <w:bCs/>
        </w:rPr>
        <w:t xml:space="preserve">表 1｜七种神经系统：六条 TLI 实验链和一组 GRU 反馈研究。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系统（优化器）</w:t>
            </w:r>
          </w:p>
        </w:tc>
        <w:tc>
          <w:tcPr/>
          <w:p>
            <w:pPr>
              <w:pStyle w:val="Compact"/>
              <w:jc w:val="left"/>
            </w:pPr>
            <w:r>
              <w:t xml:space="preserve">任务／注册的功能组件</w:t>
            </w:r>
          </w:p>
        </w:tc>
      </w:tr>
      <w:tr>
        <w:tc>
          <w:tcPr/>
          <w:p>
            <w:pPr>
              <w:pStyle w:val="Compact"/>
              <w:jc w:val="left"/>
            </w:pPr>
            <w:r>
              <w:t xml:space="preserve">nanoGPT（Adam）</w:t>
            </w:r>
          </w:p>
        </w:tc>
        <w:tc>
          <w:tcPr/>
          <w:p>
            <w:pPr>
              <w:pStyle w:val="Compact"/>
              <w:jc w:val="left"/>
            </w:pPr>
            <w:r>
              <w:t xml:space="preserve">循环式下一词元预测；4 个注意力/MLP 分支</w:t>
            </w:r>
          </w:p>
        </w:tc>
      </w:tr>
      <w:tr>
        <w:tc>
          <w:tcPr/>
          <w:p>
            <w:pPr>
              <w:pStyle w:val="Compact"/>
              <w:jc w:val="left"/>
            </w:pPr>
            <w:r>
              <w:t xml:space="preserve">ResNet-18（SGD Momentum）</w:t>
            </w:r>
          </w:p>
        </w:tc>
        <w:tc>
          <w:tcPr/>
          <w:p>
            <w:pPr>
              <w:pStyle w:val="Compact"/>
              <w:jc w:val="left"/>
            </w:pPr>
            <w:r>
              <w:t xml:space="preserve">CIFAR-100 分类；4 个残差阶段</w:t>
            </w:r>
          </w:p>
        </w:tc>
      </w:tr>
      <w:tr>
        <w:tc>
          <w:tcPr/>
          <w:p>
            <w:pPr>
              <w:pStyle w:val="Compact"/>
              <w:jc w:val="left"/>
            </w:pPr>
            <w:r>
              <w:t xml:space="preserve">Diffusion U-Net（AdamW）</w:t>
            </w:r>
          </w:p>
        </w:tc>
        <w:tc>
          <w:tcPr/>
          <w:p>
            <w:pPr>
              <w:pStyle w:val="Compact"/>
              <w:jc w:val="left"/>
            </w:pPr>
            <w:r>
              <w:t xml:space="preserve">CIFAR-10 去噪；4 个 U-Net 路径</w:t>
            </w:r>
          </w:p>
        </w:tc>
      </w:tr>
      <w:tr>
        <w:tc>
          <w:tcPr/>
          <w:p>
            <w:pPr>
              <w:pStyle w:val="Compact"/>
              <w:jc w:val="left"/>
            </w:pPr>
            <w:r>
              <w:t xml:space="preserve">Vision-MoE（AdamW）</w:t>
            </w:r>
          </w:p>
        </w:tc>
        <w:tc>
          <w:tcPr/>
          <w:p>
            <w:pPr>
              <w:pStyle w:val="Compact"/>
              <w:jc w:val="left"/>
            </w:pPr>
            <w:r>
              <w:t xml:space="preserve">CIFAR-100 分类；4 个路由专家</w:t>
            </w:r>
          </w:p>
        </w:tc>
      </w:tr>
      <w:tr>
        <w:tc>
          <w:tcPr/>
          <w:p>
            <w:pPr>
              <w:pStyle w:val="Compact"/>
              <w:jc w:val="left"/>
            </w:pPr>
            <w:r>
              <w:t xml:space="preserve">GNN（RMSprop）</w:t>
            </w:r>
          </w:p>
        </w:tc>
        <w:tc>
          <w:tcPr/>
          <w:p>
            <w:pPr>
              <w:pStyle w:val="Compact"/>
              <w:jc w:val="left"/>
            </w:pPr>
            <w:r>
              <w:t xml:space="preserve">图可达性；4 个消息传递块</w:t>
            </w:r>
          </w:p>
        </w:tc>
      </w:tr>
      <w:tr>
        <w:tc>
          <w:tcPr/>
          <w:p>
            <w:pPr>
              <w:pStyle w:val="Compact"/>
              <w:jc w:val="left"/>
            </w:pPr>
            <w:r>
              <w:t xml:space="preserve">脉冲 SNN（Adagrad）</w:t>
            </w:r>
          </w:p>
        </w:tc>
        <w:tc>
          <w:tcPr/>
          <w:p>
            <w:pPr>
              <w:pStyle w:val="Compact"/>
              <w:jc w:val="left"/>
            </w:pPr>
            <w:r>
              <w:t xml:space="preserve">8×8 数字识别；4 个脉冲块</w:t>
            </w:r>
          </w:p>
        </w:tc>
      </w:tr>
      <w:tr>
        <w:tc>
          <w:tcPr/>
          <w:p>
            <w:pPr>
              <w:pStyle w:val="Compact"/>
              <w:jc w:val="left"/>
            </w:pPr>
            <w:r>
              <w:t xml:space="preserve">GRU（RL-E05/E06；AdamW）</w:t>
            </w:r>
          </w:p>
        </w:tc>
        <w:tc>
          <w:tcPr/>
          <w:p>
            <w:pPr>
              <w:pStyle w:val="Compact"/>
              <w:jc w:val="left"/>
            </w:pPr>
            <w:r>
              <w:t xml:space="preserve">四能力反馈；4 个共享隐藏状态组</w:t>
            </w:r>
          </w:p>
        </w:tc>
      </w:tr>
    </w:tbl>
    <w:bookmarkEnd w:id="25"/>
    <w:bookmarkStart w:id="26" w:name="训练实际动作与接收状态"/>
    <w:p>
      <w:pPr>
        <w:pStyle w:val="Heading2"/>
      </w:pPr>
      <w:r>
        <w:t xml:space="preserve">2.2 训练：实际动作与接收状态</w:t>
      </w:r>
    </w:p>
    <w:p>
      <w:pPr>
        <w:pStyle w:val="FirstParagraph"/>
      </w:pPr>
      <w:r>
        <w:t xml:space="preserve">在一个已注册的更新时刻，实际模型—优化器状态为</w:t>
      </w:r>
      <w:r>
        <w:t xml:space="preserve"> </w:t>
      </w:r>
      <m:oMath>
        <m:sSub>
          <m:e>
            <m:r>
              <m:t>Z</m:t>
            </m:r>
          </m:e>
          <m:sub>
            <m:r>
              <m:t>t</m:t>
            </m:r>
          </m:sub>
        </m:sSub>
        <m:r>
          <m:rPr>
            <m:sty m:val="p"/>
          </m:rPr>
          <m:t>=</m:t>
        </m:r>
        <m:d>
          <m:dPr>
            <m:begChr m:val="("/>
            <m:endChr m:val=")"/>
            <m:sepChr m:val=""/>
            <m:grow/>
          </m:dPr>
          <m:e>
            <m:sSub>
              <m:e>
                <m:r>
                  <m:t>θ</m:t>
                </m:r>
              </m:e>
              <m:sub>
                <m:r>
                  <m:t>t</m:t>
                </m:r>
              </m:sub>
            </m:sSub>
            <m:r>
              <m:rPr>
                <m:sty m:val="p"/>
              </m:rPr>
              <m:t>,</m:t>
            </m:r>
            <m:sSub>
              <m:e>
                <m:r>
                  <m:t>ω</m:t>
                </m:r>
              </m:e>
              <m:sub>
                <m:r>
                  <m:t>t</m:t>
                </m:r>
              </m:sub>
            </m:sSub>
          </m:e>
        </m:d>
      </m:oMath>
      <w:r>
        <w:t xml:space="preserve">，其中真实发生的参数动作为</w:t>
      </w:r>
      <w:r>
        <w:t xml:space="preserve"> </w:t>
      </w:r>
      <m:oMath>
        <m:r>
          <m:t>Δ</m:t>
        </m:r>
        <m:sSub>
          <m:e>
            <m:r>
              <m:t>θ</m:t>
            </m:r>
          </m:e>
          <m:sub>
            <m:r>
              <m:t>t</m:t>
            </m:r>
          </m:sub>
        </m:sSub>
        <m:r>
          <m:rPr>
            <m:sty m:val="p"/>
          </m:rPr>
          <m:t>=</m:t>
        </m:r>
        <m:sSub>
          <m:e>
            <m:r>
              <m:t>θ</m:t>
            </m:r>
          </m:e>
          <m:sub>
            <m:r>
              <m:t>t</m:t>
            </m:r>
            <m:r>
              <m:rPr>
                <m:sty m:val="p"/>
              </m:rPr>
              <m:t>+</m:t>
            </m:r>
            <m:r>
              <m:t>1</m:t>
            </m:r>
          </m:sub>
        </m:sSub>
        <m:r>
          <m:rPr>
            <m:sty m:val="p"/>
          </m:rPr>
          <m:t>−</m:t>
        </m:r>
        <m:sSub>
          <m:e>
            <m:r>
              <m:t>θ</m:t>
            </m:r>
          </m:e>
          <m:sub>
            <m:r>
              <m:t>t</m:t>
            </m:r>
          </m:sub>
        </m:sSub>
      </m:oMath>
      <w:r>
        <w:t xml:space="preserve">。实验记录更新前状态、小批量数据、梯度、优化器记忆和原生更新后状态。TL-E01/E02 考察能力轨迹，以及优化器暂停／梯度裁剪对照。TL-E03 将</w:t>
      </w:r>
      <w:r>
        <w:rPr>
          <w:b/>
          <w:bCs/>
        </w:rPr>
        <w:t xml:space="preserve">完全相同的已形成更新</w:t>
      </w:r>
      <w:r>
        <w:t xml:space="preserve">移植到不同历史接收状态，并分别以对应的不更新分支为基线比较响应：</w:t>
      </w:r>
    </w:p>
    <w:p>
      <w:pPr>
        <w:pStyle w:val="BodyText"/>
      </w:pPr>
      <m:oMathPara>
        <m:oMathParaPr>
          <m:jc m:val="center"/>
        </m:oMathParaPr>
        <m:oMath>
          <m:sSub>
            <m:e>
              <m:r>
                <m:t>R</m:t>
              </m:r>
            </m:e>
            <m:sub>
              <m:r>
                <m:t>q</m:t>
              </m:r>
            </m:sub>
          </m:sSub>
          <m:d>
            <m:dPr>
              <m:begChr m:val="("/>
              <m:endChr m:val=")"/>
              <m:sepChr m:val=""/>
              <m:grow/>
            </m:dPr>
            <m:e>
              <m:sSub>
                <m:e>
                  <m:r>
                    <m:t>θ</m:t>
                  </m:r>
                </m:e>
                <m:sub>
                  <m:r>
                    <m:t>A</m:t>
                  </m:r>
                </m:sub>
              </m:sSub>
              <m:r>
                <m:rPr>
                  <m:sty m:val="p"/>
                </m:rPr>
                <m:t>,</m:t>
              </m:r>
              <m:r>
                <m:t>Δ</m:t>
              </m:r>
              <m:sSub>
                <m:e>
                  <m:r>
                    <m:t>θ</m:t>
                  </m:r>
                </m:e>
                <m:sub>
                  <m:r>
                    <m:t>B</m:t>
                  </m:r>
                </m:sub>
              </m:sSub>
            </m:e>
          </m:d>
          <m:r>
            <m:t> </m:t>
          </m:r>
          <m:r>
            <m:rPr>
              <m:nor/>
              <m:sty m:val="p"/>
            </m:rPr>
            <m:t>与</m:t>
          </m:r>
          <m:r>
            <m:t> </m:t>
          </m:r>
          <m:sSub>
            <m:e>
              <m:r>
                <m:t>R</m:t>
              </m:r>
            </m:e>
            <m:sub>
              <m:r>
                <m:t>q</m:t>
              </m:r>
            </m:sub>
          </m:sSub>
          <m:d>
            <m:dPr>
              <m:begChr m:val="("/>
              <m:endChr m:val=")"/>
              <m:sepChr m:val=""/>
              <m:grow/>
            </m:dPr>
            <m:e>
              <m:sSub>
                <m:e>
                  <m:r>
                    <m:t>θ</m:t>
                  </m:r>
                </m:e>
                <m:sub>
                  <m:r>
                    <m:t>B</m:t>
                  </m:r>
                </m:sub>
              </m:sSub>
              <m:r>
                <m:rPr>
                  <m:sty m:val="p"/>
                </m:rPr>
                <m:t>,</m:t>
              </m:r>
              <m:r>
                <m:t>Δ</m:t>
              </m:r>
              <m:sSub>
                <m:e>
                  <m:r>
                    <m:t>θ</m:t>
                  </m:r>
                </m:e>
                <m:sub>
                  <m:r>
                    <m:t>B</m:t>
                  </m:r>
                </m:sub>
              </m:sSub>
            </m:e>
          </m:d>
          <m:r>
            <m:rPr>
              <m:sty m:val="p"/>
            </m:rPr>
            <m:t>.</m:t>
          </m:r>
        </m:oMath>
      </m:oMathPara>
    </w:p>
    <w:p>
      <w:pPr>
        <w:pStyle w:val="FirstParagraph"/>
      </w:pPr>
      <w:r>
        <w:t xml:space="preserve">对于目标</w:t>
      </w:r>
      <w:r>
        <w:t xml:space="preserve"> </w:t>
      </w:r>
      <m:oMath>
        <m:r>
          <m:t>q</m:t>
        </m:r>
      </m:oMath>
      <w:r>
        <w:t xml:space="preserve">，这里的</w:t>
      </w:r>
      <w:r>
        <w:t xml:space="preserve"> </w:t>
      </w:r>
      <m:oMath>
        <m:sSub>
          <m:e>
            <m:r>
              <m:t>R</m:t>
            </m:r>
          </m:e>
          <m:sub>
            <m:r>
              <m:t>q</m:t>
            </m:r>
          </m:sub>
        </m:sSub>
        <m:d>
          <m:dPr>
            <m:begChr m:val="("/>
            <m:endChr m:val=")"/>
            <m:sepChr m:val=""/>
            <m:grow/>
          </m:dPr>
          <m:e>
            <m:r>
              <m:t>θ</m:t>
            </m:r>
            <m:r>
              <m:rPr>
                <m:sty m:val="p"/>
              </m:rPr>
              <m:t>,</m:t>
            </m:r>
            <m:r>
              <m:t>Δ</m:t>
            </m:r>
          </m:e>
        </m:d>
        <m:r>
          <m:rPr>
            <m:sty m:val="p"/>
          </m:rPr>
          <m:t>=</m:t>
        </m:r>
        <m:sSub>
          <m:e>
            <m:r>
              <m:t>m</m:t>
            </m:r>
          </m:e>
          <m:sub>
            <m:r>
              <m:t>q</m:t>
            </m:r>
          </m:sub>
        </m:sSub>
        <m:d>
          <m:dPr>
            <m:begChr m:val="("/>
            <m:endChr m:val=")"/>
            <m:sepChr m:val=""/>
            <m:grow/>
          </m:dPr>
          <m:e>
            <m:r>
              <m:t>θ</m:t>
            </m:r>
            <m:r>
              <m:rPr>
                <m:sty m:val="p"/>
              </m:rPr>
              <m:t>+</m:t>
            </m:r>
            <m:r>
              <m:t>Δ</m:t>
            </m:r>
          </m:e>
        </m:d>
        <m:r>
          <m:rPr>
            <m:sty m:val="p"/>
          </m:rPr>
          <m:t>−</m:t>
        </m:r>
        <m:sSub>
          <m:e>
            <m:r>
              <m:t>m</m:t>
            </m:r>
          </m:e>
          <m:sub>
            <m:r>
              <m:t>q</m:t>
            </m:r>
          </m:sub>
        </m:sSub>
        <m:d>
          <m:dPr>
            <m:begChr m:val="("/>
            <m:endChr m:val=")"/>
            <m:sepChr m:val=""/>
            <m:grow/>
          </m:dPr>
          <m:e>
            <m:r>
              <m:t>θ</m:t>
            </m:r>
          </m:e>
        </m:d>
      </m:oMath>
      <w:r>
        <w:t xml:space="preserve">。另一个优化器记忆分叉实验保持当前参数和梯度固定，同时替换历史优化器记忆：</w:t>
      </w:r>
    </w:p>
    <w:p>
      <w:pPr>
        <w:pStyle w:val="BodyText"/>
      </w:pPr>
      <m:oMathPara>
        <m:oMathParaPr>
          <m:jc m:val="center"/>
        </m:oMathParaPr>
        <m:oMath>
          <m:sSup>
            <m:e>
              <m:r>
                <m:t>Δ</m:t>
              </m:r>
            </m:e>
            <m:sup>
              <m:d>
                <m:dPr>
                  <m:begChr m:val="("/>
                  <m:endChr m:val=")"/>
                  <m:sepChr m:val=""/>
                  <m:grow/>
                </m:dPr>
                <m:e>
                  <m:r>
                    <m:t>a</m:t>
                  </m:r>
                  <m:r>
                    <m:rPr>
                      <m:sty m:val="p"/>
                    </m:rPr>
                    <m:t>,</m:t>
                  </m:r>
                  <m:r>
                    <m:t>b</m:t>
                  </m:r>
                </m:e>
              </m:d>
            </m:sup>
          </m:sSup>
          <m:r>
            <m:rPr>
              <m:sty m:val="p"/>
            </m:rPr>
            <m:t>=</m:t>
          </m:r>
          <m:r>
            <m:rPr>
              <m:sty m:val="p"/>
            </m:rPr>
            <m:t>OptStep</m:t>
          </m:r>
          <m:d>
            <m:dPr>
              <m:begChr m:val="("/>
              <m:endChr m:val=")"/>
              <m:sepChr m:val=""/>
              <m:grow/>
            </m:dPr>
            <m:e>
              <m:sSub>
                <m:e>
                  <m:r>
                    <m:t>θ</m:t>
                  </m:r>
                </m:e>
                <m:sub>
                  <m:r>
                    <m:t>t</m:t>
                  </m:r>
                </m:sub>
              </m:sSub>
              <m:r>
                <m:rPr>
                  <m:sty m:val="p"/>
                </m:rPr>
                <m:t>,</m:t>
              </m:r>
              <m:sSub>
                <m:e>
                  <m:r>
                    <m:t>g</m:t>
                  </m:r>
                </m:e>
                <m:sub>
                  <m:r>
                    <m:t>t</m:t>
                  </m:r>
                </m:sub>
              </m:sSub>
              <m:r>
                <m:rPr>
                  <m:sty m:val="p"/>
                </m:rPr>
                <m:t>,</m:t>
              </m:r>
              <m:sSub>
                <m:e>
                  <m:r>
                    <m:t>ω</m:t>
                  </m:r>
                </m:e>
                <m:sub>
                  <m:r>
                    <m:t>a</m:t>
                  </m:r>
                  <m:r>
                    <m:rPr>
                      <m:sty m:val="p"/>
                    </m:rPr>
                    <m:t>,</m:t>
                  </m:r>
                  <m:r>
                    <m:t>b</m:t>
                  </m:r>
                </m:sub>
              </m:sSub>
            </m:e>
          </m:d>
          <m:r>
            <m:rPr>
              <m:sty m:val="p"/>
            </m:rPr>
            <m:t>.</m:t>
          </m:r>
        </m:oMath>
      </m:oMathPara>
    </w:p>
    <w:p>
      <w:pPr>
        <w:pStyle w:val="FirstParagraph"/>
      </w:pPr>
      <w:r>
        <w:t xml:space="preserve">TL-E04 在不同有限振幅下评估</w:t>
      </w:r>
      <w:r>
        <w:rPr>
          <w:b/>
          <w:bCs/>
        </w:rPr>
        <w:t xml:space="preserve">实际发生的更新</w:t>
      </w:r>
      <w:r>
        <w:t xml:space="preserve">：</w:t>
      </w:r>
    </w:p>
    <w:p>
      <w:pPr>
        <w:pStyle w:val="BodyText"/>
      </w:pPr>
      <m:oMathPara>
        <m:oMathParaPr>
          <m:jc m:val="center"/>
        </m:oMathParaPr>
        <m:oMath>
          <m:sSub>
            <m:e>
              <m:r>
                <m:t>r</m:t>
              </m:r>
            </m:e>
            <m:sub>
              <m:r>
                <m:t>t</m:t>
              </m:r>
              <m:r>
                <m:rPr>
                  <m:sty m:val="p"/>
                </m:rPr>
                <m:t>,</m:t>
              </m:r>
              <m:r>
                <m:t>q</m:t>
              </m:r>
            </m:sub>
          </m:sSub>
          <m:d>
            <m:dPr>
              <m:begChr m:val="("/>
              <m:endChr m:val=")"/>
              <m:sepChr m:val=""/>
              <m:grow/>
            </m:dPr>
            <m:e>
              <m:r>
                <m:t>α</m:t>
              </m:r>
            </m:e>
          </m:d>
          <m:r>
            <m:rPr>
              <m:sty m:val="p"/>
            </m:rPr>
            <m:t>=</m:t>
          </m:r>
          <m:sSub>
            <m:e>
              <m:r>
                <m:t>m</m:t>
              </m:r>
            </m:e>
            <m:sub>
              <m:r>
                <m:t>q</m:t>
              </m:r>
            </m:sub>
          </m:sSub>
          <m:d>
            <m:dPr>
              <m:begChr m:val="("/>
              <m:endChr m:val=")"/>
              <m:sepChr m:val=""/>
              <m:grow/>
            </m:dPr>
            <m:e>
              <m:sSub>
                <m:e>
                  <m:r>
                    <m:t>θ</m:t>
                  </m:r>
                </m:e>
                <m:sub>
                  <m:r>
                    <m:t>t</m:t>
                  </m:r>
                </m:sub>
              </m:sSub>
              <m:r>
                <m:rPr>
                  <m:sty m:val="p"/>
                </m:rPr>
                <m:t>+</m:t>
              </m:r>
              <m:r>
                <m:t>α</m:t>
              </m:r>
              <m:r>
                <m:t>Δ</m:t>
              </m:r>
              <m:sSub>
                <m:e>
                  <m:r>
                    <m:t>θ</m:t>
                  </m:r>
                </m:e>
                <m:sub>
                  <m:r>
                    <m:t>t</m:t>
                  </m:r>
                </m:sub>
              </m:sSub>
            </m:e>
          </m:d>
          <m:r>
            <m:rPr>
              <m:sty m:val="p"/>
            </m:rPr>
            <m:t>−</m:t>
          </m:r>
          <m:sSub>
            <m:e>
              <m:r>
                <m:t>m</m:t>
              </m:r>
            </m:e>
            <m:sub>
              <m:r>
                <m:t>q</m:t>
              </m:r>
            </m:sub>
          </m:sSub>
          <m:d>
            <m:dPr>
              <m:begChr m:val="("/>
              <m:endChr m:val=")"/>
              <m:sepChr m:val=""/>
              <m:grow/>
            </m:dPr>
            <m:e>
              <m:sSub>
                <m:e>
                  <m:r>
                    <m:t>θ</m:t>
                  </m:r>
                </m:e>
                <m:sub>
                  <m:r>
                    <m:t>t</m:t>
                  </m:r>
                </m:sub>
              </m:sSub>
            </m:e>
          </m:d>
          <m:r>
            <m:rPr>
              <m:sty m:val="p"/>
            </m:rPr>
            <m:t>,</m:t>
          </m:r>
        </m:oMath>
      </m:oMathPara>
    </w:p>
    <w:p>
      <w:pPr>
        <w:pStyle w:val="FirstParagraph"/>
      </w:pPr>
      <w:r>
        <w:t xml:space="preserve">跨系统共同采用的振幅网格为</w:t>
      </w:r>
      <w:r>
        <w:t xml:space="preserve"> </w:t>
      </w:r>
      <m:oMath>
        <m:r>
          <m:t>α</m:t>
        </m:r>
        <m:r>
          <m:rPr>
            <m:sty m:val="p"/>
          </m:rPr>
          <m:t>∈</m:t>
        </m:r>
        <m:r>
          <m:rPr>
            <m:sty m:val="p"/>
          </m:rPr>
          <m:t>{</m:t>
        </m:r>
        <m:r>
          <m:t>0</m:t>
        </m:r>
        <m:r>
          <m:rPr>
            <m:sty m:val="p"/>
          </m:rPr>
          <m:t>,</m:t>
        </m:r>
        <m:r>
          <m:t>0.125</m:t>
        </m:r>
        <m:r>
          <m:rPr>
            <m:sty m:val="p"/>
          </m:rPr>
          <m:t>,</m:t>
        </m:r>
        <m:r>
          <m:t>0.25</m:t>
        </m:r>
        <m:r>
          <m:rPr>
            <m:sty m:val="p"/>
          </m:rPr>
          <m:t>,</m:t>
        </m:r>
        <m:r>
          <m:t>0.5</m:t>
        </m:r>
        <m:r>
          <m:rPr>
            <m:sty m:val="p"/>
          </m:rPr>
          <m:t>,</m:t>
        </m:r>
        <m:r>
          <m:t>0.75</m:t>
        </m:r>
        <m:r>
          <m:rPr>
            <m:sty m:val="p"/>
          </m:rPr>
          <m:t>,</m:t>
        </m:r>
        <m:r>
          <m:t>1</m:t>
        </m:r>
        <m:r>
          <m:rPr>
            <m:sty m:val="p"/>
          </m:rPr>
          <m:t>}</m:t>
        </m:r>
      </m:oMath>
      <w:r>
        <w:t xml:space="preserve">。响应路径呈现线性、饱和、加速、回折和符号反转等状态。TL-E05 识别出响应发生前的三类主要条件因素：当前目标边界状态（F1）、目标特定的更新几何（F3），以及参数—优化器接收状态（F5）。</w:t>
      </w:r>
    </w:p>
    <w:bookmarkEnd w:id="26"/>
    <w:bookmarkStart w:id="27" w:name="学习功能支撑形成与读出"/>
    <w:p>
      <w:pPr>
        <w:pStyle w:val="Heading2"/>
      </w:pPr>
      <w:r>
        <w:t xml:space="preserve">2.3 学习：功能支撑形成与读出</w:t>
      </w:r>
    </w:p>
    <w:p>
      <w:pPr>
        <w:pStyle w:val="FirstParagraph"/>
      </w:pPr>
      <w:r>
        <w:t xml:space="preserve">TL-E06 对已识别的组件施加可逆零值门控。对于活跃组件联盟</w:t>
      </w:r>
      <w:r>
        <w:t xml:space="preserve"> </w:t>
      </w:r>
      <m:oMath>
        <m:r>
          <m:t>C</m:t>
        </m:r>
        <m:r>
          <m:rPr>
            <m:sty m:val="p"/>
          </m:rPr>
          <m:t>⊆</m:t>
        </m:r>
        <m:r>
          <m:rPr>
            <m:sty m:val="p"/>
            <m:scr m:val="script"/>
          </m:rPr>
          <m:t>C</m:t>
        </m:r>
      </m:oMath>
      <w:r>
        <w:t xml:space="preserve">，令</w:t>
      </w:r>
      <w:r>
        <w:t xml:space="preserve"> </w:t>
      </w:r>
      <m:oMath>
        <m:sSub>
          <m:e>
            <m:r>
              <m:t>v</m:t>
            </m:r>
          </m:e>
          <m:sub>
            <m:r>
              <m:t>t</m:t>
            </m:r>
            <m:r>
              <m:rPr>
                <m:sty m:val="p"/>
              </m:rPr>
              <m:t>,</m:t>
            </m:r>
            <m:r>
              <m:t>q</m:t>
            </m:r>
          </m:sub>
        </m:sSub>
        <m:d>
          <m:dPr>
            <m:begChr m:val="("/>
            <m:endChr m:val=")"/>
            <m:sepChr m:val=""/>
            <m:grow/>
          </m:dPr>
          <m:e>
            <m:r>
              <m:t>C</m:t>
            </m:r>
          </m:e>
        </m:d>
        <m:r>
          <m:rPr>
            <m:sty m:val="p"/>
          </m:rPr>
          <m:t>=</m:t>
        </m:r>
        <m:sSub>
          <m:e>
            <m:r>
              <m:t>m</m:t>
            </m:r>
          </m:e>
          <m:sub>
            <m:r>
              <m:t>q</m:t>
            </m:r>
          </m:sub>
        </m:sSub>
        <m:d>
          <m:dPr>
            <m:begChr m:val="("/>
            <m:endChr m:val=")"/>
            <m:sepChr m:val=""/>
            <m:grow/>
          </m:dPr>
          <m:e>
            <m:sSubSup>
              <m:e>
                <m:r>
                  <m:t>f</m:t>
                </m:r>
              </m:e>
              <m:sub>
                <m:sSub>
                  <m:e>
                    <m:r>
                      <m:t>θ</m:t>
                    </m:r>
                  </m:e>
                  <m:sub>
                    <m:r>
                      <m:t>t</m:t>
                    </m:r>
                  </m:sub>
                </m:sSub>
              </m:sub>
              <m:sup>
                <m:d>
                  <m:dPr>
                    <m:begChr m:val="("/>
                    <m:endChr m:val=")"/>
                    <m:sepChr m:val=""/>
                    <m:grow/>
                  </m:dPr>
                  <m:e>
                    <m:r>
                      <m:t>C</m:t>
                    </m:r>
                  </m:e>
                </m:d>
              </m:sup>
            </m:sSubSup>
            <m:d>
              <m:dPr>
                <m:begChr m:val="("/>
                <m:endChr m:val=")"/>
                <m:sepChr m:val=""/>
                <m:grow/>
              </m:dPr>
              <m:e>
                <m:sSub>
                  <m:e>
                    <m:r>
                      <m:t>x</m:t>
                    </m:r>
                  </m:e>
                  <m:sub>
                    <m:r>
                      <m:t>q</m:t>
                    </m:r>
                  </m:sub>
                </m:sSub>
              </m:e>
            </m:d>
          </m:e>
        </m:d>
      </m:oMath>
      <w:r>
        <w:t xml:space="preserve">。单组件和双组件干预测量必要性、备份、替代、相互作用和失效余量；跨系统实现还检验四个组件的全部 16 种联盟及其精确 Shapley 效应：</w:t>
      </w:r>
    </w:p>
    <w:p>
      <w:pPr>
        <w:pStyle w:val="BodyText"/>
      </w:pPr>
      <m:oMathPara>
        <m:oMathParaPr>
          <m:jc m:val="center"/>
        </m:oMathParaPr>
        <m:oMath>
          <m:sSub>
            <m:e>
              <m:r>
                <m:t>ϕ</m:t>
              </m:r>
            </m:e>
            <m:sub>
              <m:r>
                <m:t>j</m:t>
              </m:r>
              <m:r>
                <m:rPr>
                  <m:sty m:val="p"/>
                </m:rPr>
                <m:t>,</m:t>
              </m:r>
              <m:r>
                <m:t>q</m:t>
              </m:r>
            </m:sub>
          </m:sSub>
          <m:r>
            <m:rPr>
              <m:sty m:val="p"/>
            </m:rPr>
            <m:t>=</m:t>
          </m:r>
          <m:nary>
            <m:naryPr>
              <m:chr m:val="∑"/>
              <m:limLoc m:val="undOvr"/>
              <m:subHide m:val="off"/>
              <m:supHide m:val="on"/>
            </m:naryPr>
            <m:sub>
              <m:r>
                <m:t>C</m:t>
              </m:r>
              <m:r>
                <m:rPr>
                  <m:sty m:val="p"/>
                </m:rPr>
                <m:t>⊆</m:t>
              </m:r>
              <m:r>
                <m:rPr>
                  <m:sty m:val="p"/>
                  <m:scr m:val="script"/>
                </m:rPr>
                <m:t>C</m:t>
              </m:r>
              <m:r>
                <m:rPr>
                  <m:sty m:val="p"/>
                </m:rPr>
                <m:t>\</m:t>
              </m:r>
              <m:r>
                <m:rPr>
                  <m:sty m:val="p"/>
                </m:rPr>
                <m:t>{</m:t>
              </m:r>
              <m:r>
                <m:t>j</m:t>
              </m:r>
              <m:r>
                <m:rPr>
                  <m:sty m:val="p"/>
                </m:rPr>
                <m:t>}</m:t>
              </m:r>
            </m:sub>
            <m:sup>
              <m:r>
                <m:t>​</m:t>
              </m:r>
            </m:sup>
            <m:e>
              <m:f>
                <m:fPr>
                  <m:type m:val="bar"/>
                </m:fPr>
                <m:num>
                  <m:d>
                    <m:dPr>
                      <m:begChr m:val="|"/>
                      <m:endChr m:val="|"/>
                      <m:sepChr m:val=""/>
                      <m:grow/>
                    </m:dPr>
                    <m:e>
                      <m:r>
                        <m:t>C</m:t>
                      </m:r>
                    </m:e>
                  </m:d>
                  <m:r>
                    <m:rPr>
                      <m:sty m:val="p"/>
                    </m:rPr>
                    <m:t>!</m:t>
                  </m:r>
                  <m:d>
                    <m:dPr>
                      <m:begChr m:val="("/>
                      <m:endChr m:val=")"/>
                      <m:sepChr m:val=""/>
                      <m:grow/>
                    </m:dPr>
                    <m:e>
                      <m:r>
                        <m:t>3</m:t>
                      </m:r>
                      <m:r>
                        <m:rPr>
                          <m:sty m:val="p"/>
                        </m:rPr>
                        <m:t>−</m:t>
                      </m:r>
                      <m:d>
                        <m:dPr>
                          <m:begChr m:val="|"/>
                          <m:endChr m:val="|"/>
                          <m:sepChr m:val=""/>
                          <m:grow/>
                        </m:dPr>
                        <m:e>
                          <m:r>
                            <m:t>C</m:t>
                          </m:r>
                        </m:e>
                      </m:d>
                    </m:e>
                  </m:d>
                  <m:r>
                    <m:rPr>
                      <m:sty m:val="p"/>
                    </m:rPr>
                    <m:t>!</m:t>
                  </m:r>
                </m:num>
                <m:den>
                  <m:r>
                    <m:t>4</m:t>
                  </m:r>
                  <m:r>
                    <m:rPr>
                      <m:sty m:val="p"/>
                    </m:rPr>
                    <m:t>!</m:t>
                  </m:r>
                </m:den>
              </m:f>
            </m:e>
          </m:nary>
          <m:d>
            <m:dPr>
              <m:begChr m:val="["/>
              <m:endChr m:val="]"/>
              <m:sepChr m:val=""/>
              <m:grow/>
            </m:dPr>
            <m:e>
              <m:sSub>
                <m:e>
                  <m:r>
                    <m:t>v</m:t>
                  </m:r>
                </m:e>
                <m:sub>
                  <m:r>
                    <m:t>q</m:t>
                  </m:r>
                </m:sub>
              </m:sSub>
              <m:d>
                <m:dPr>
                  <m:begChr m:val="("/>
                  <m:endChr m:val=")"/>
                  <m:sepChr m:val=""/>
                  <m:grow/>
                </m:dPr>
                <m:e>
                  <m:r>
                    <m:t>C</m:t>
                  </m:r>
                  <m:r>
                    <m:rPr>
                      <m:sty m:val="p"/>
                    </m:rPr>
                    <m:t>∪</m:t>
                  </m:r>
                  <m:r>
                    <m:rPr>
                      <m:sty m:val="p"/>
                    </m:rPr>
                    <m:t>{</m:t>
                  </m:r>
                  <m:r>
                    <m:t>j</m:t>
                  </m:r>
                  <m:r>
                    <m:rPr>
                      <m:sty m:val="p"/>
                    </m:rPr>
                    <m:t>}</m:t>
                  </m:r>
                </m:e>
              </m:d>
              <m:r>
                <m:rPr>
                  <m:sty m:val="p"/>
                </m:rPr>
                <m:t>−</m:t>
              </m:r>
              <m:sSub>
                <m:e>
                  <m:r>
                    <m:t>v</m:t>
                  </m:r>
                </m:e>
                <m:sub>
                  <m:r>
                    <m:t>q</m:t>
                  </m:r>
                </m:sub>
              </m:sSub>
              <m:d>
                <m:dPr>
                  <m:begChr m:val="("/>
                  <m:endChr m:val=")"/>
                  <m:sepChr m:val=""/>
                  <m:grow/>
                </m:dPr>
                <m:e>
                  <m:r>
                    <m:t>C</m:t>
                  </m:r>
                </m:e>
              </m:d>
            </m:e>
          </m:d>
          <m:r>
            <m:rPr>
              <m:sty m:val="p"/>
            </m:rPr>
            <m:t>.</m:t>
          </m:r>
        </m:oMath>
      </m:oMathPara>
    </w:p>
    <w:p>
      <w:pPr>
        <w:pStyle w:val="FirstParagraph"/>
      </w:pPr>
      <w:r>
        <w:t xml:space="preserve">TL-E07 比较</w:t>
      </w:r>
      <w:r>
        <w:rPr>
          <w:b/>
          <w:bCs/>
        </w:rPr>
        <w:t xml:space="preserve">同一次更新</w:t>
      </w:r>
      <w:r>
        <w:t xml:space="preserve">前后由干预推导出的功能支撑分配：</w:t>
      </w:r>
    </w:p>
    <w:p>
      <w:pPr>
        <w:pStyle w:val="BodyText"/>
      </w:pPr>
      <m:oMathPara>
        <m:oMathParaPr>
          <m:jc m:val="center"/>
        </m:oMathParaPr>
        <m:oMath>
          <m:r>
            <m:t>Δ</m:t>
          </m:r>
          <m:sSub>
            <m:e>
              <m:r>
                <m:t>P</m:t>
              </m:r>
            </m:e>
            <m:sub>
              <m:r>
                <m:t>t</m:t>
              </m:r>
              <m:r>
                <m:rPr>
                  <m:sty m:val="p"/>
                </m:rPr>
                <m:t>,</m:t>
              </m:r>
              <m:r>
                <m:t>q</m:t>
              </m:r>
            </m:sub>
          </m:sSub>
          <m:r>
            <m:rPr>
              <m:sty m:val="p"/>
            </m:rPr>
            <m:t>=</m:t>
          </m:r>
          <m:sSub>
            <m:e>
              <m:r>
                <m:t>P</m:t>
              </m:r>
            </m:e>
            <m:sub>
              <m:r>
                <m:t>q</m:t>
              </m:r>
            </m:sub>
          </m:sSub>
          <m:d>
            <m:dPr>
              <m:begChr m:val="("/>
              <m:endChr m:val=")"/>
              <m:sepChr m:val=""/>
              <m:grow/>
            </m:dPr>
            <m:e>
              <m:sSub>
                <m:e>
                  <m:r>
                    <m:t>θ</m:t>
                  </m:r>
                </m:e>
                <m:sub>
                  <m:r>
                    <m:t>t</m:t>
                  </m:r>
                </m:sub>
              </m:sSub>
              <m:r>
                <m:rPr>
                  <m:sty m:val="p"/>
                </m:rPr>
                <m:t>+</m:t>
              </m:r>
              <m:r>
                <m:t>Δ</m:t>
              </m:r>
              <m:sSub>
                <m:e>
                  <m:r>
                    <m:t>θ</m:t>
                  </m:r>
                </m:e>
                <m:sub>
                  <m:r>
                    <m:t>t</m:t>
                  </m:r>
                </m:sub>
              </m:sSub>
            </m:e>
          </m:d>
          <m:r>
            <m:rPr>
              <m:sty m:val="p"/>
            </m:rPr>
            <m:t>−</m:t>
          </m:r>
          <m:sSub>
            <m:e>
              <m:r>
                <m:t>P</m:t>
              </m:r>
            </m:e>
            <m:sub>
              <m:r>
                <m:t>q</m:t>
              </m:r>
            </m:sub>
          </m:sSub>
          <m:d>
            <m:dPr>
              <m:begChr m:val="("/>
              <m:endChr m:val=")"/>
              <m:sepChr m:val=""/>
              <m:grow/>
            </m:dPr>
            <m:e>
              <m:sSub>
                <m:e>
                  <m:r>
                    <m:t>θ</m:t>
                  </m:r>
                </m:e>
                <m:sub>
                  <m:r>
                    <m:t>t</m:t>
                  </m:r>
                </m:sub>
              </m:sSub>
            </m:e>
          </m:d>
          <m:r>
            <m:rPr>
              <m:sty m:val="p"/>
            </m:rPr>
            <m:t>,</m:t>
          </m:r>
        </m:oMath>
      </m:oMathPara>
    </w:p>
    <w:p>
      <w:pPr>
        <w:pStyle w:val="FirstParagraph"/>
      </w:pPr>
      <w:r>
        <w:t xml:space="preserve">其中包括支撑交接以及组件相互作用。TL-E08 对齐目标身份与目标读出边界。分类器使用</w:t>
      </w:r>
      <w:r>
        <w:t xml:space="preserve"> </w:t>
      </w:r>
      <m:oMath>
        <m:sSub>
          <m:e>
            <m:r>
              <m:t>m</m:t>
            </m:r>
          </m:e>
          <m:sub>
            <m:r>
              <m:t>q</m:t>
            </m:r>
          </m:sub>
        </m:sSub>
        <m:r>
          <m:rPr>
            <m:sty m:val="p"/>
          </m:rPr>
          <m:t>=</m:t>
        </m:r>
        <m:sSub>
          <m:e>
            <m:r>
              <m:rPr>
                <m:sty m:val="p"/>
              </m:rPr>
              <m:t>ℓ</m:t>
            </m:r>
          </m:e>
          <m:sub>
            <m:r>
              <m:t>y</m:t>
            </m:r>
          </m:sub>
        </m:sSub>
        <m:r>
          <m:rPr>
            <m:sty m:val="p"/>
          </m:rPr>
          <m:t>−</m:t>
        </m:r>
        <m:sSub>
          <m:e>
            <m:r>
              <m:rPr>
                <m:sty m:val="p"/>
              </m:rPr>
              <m:t>max</m:t>
            </m:r>
          </m:e>
          <m:sub>
            <m:r>
              <m:t>c</m:t>
            </m:r>
            <m:r>
              <m:rPr>
                <m:sty m:val="p"/>
              </m:rPr>
              <m:t>≠</m:t>
            </m:r>
            <m:r>
              <m:t>y</m:t>
            </m:r>
          </m:sub>
        </m:sSub>
        <m:sSub>
          <m:e>
            <m:r>
              <m:rPr>
                <m:sty m:val="p"/>
              </m:rPr>
              <m:t>ℓ</m:t>
            </m:r>
          </m:e>
          <m:sub>
            <m:r>
              <m:t>c</m:t>
            </m:r>
          </m:sub>
        </m:sSub>
      </m:oMath>
      <w:r>
        <w:t xml:space="preserve">；扩散模型使用原生残差竞争边界</w:t>
      </w:r>
      <w:r>
        <w:t xml:space="preserve"> </w:t>
      </w:r>
      <m:oMath>
        <m:sSub>
          <m:e>
            <m:r>
              <m:t>m</m:t>
            </m:r>
          </m:e>
          <m:sub>
            <m:r>
              <m:t>q</m:t>
            </m:r>
          </m:sub>
        </m:sSub>
        <m:r>
          <m:rPr>
            <m:sty m:val="p"/>
          </m:rPr>
          <m:t>=</m:t>
        </m:r>
        <m:sSub>
          <m:e>
            <m:r>
              <m:rPr>
                <m:sty m:val="p"/>
              </m:rPr>
              <m:t>min</m:t>
            </m:r>
          </m:e>
          <m:sub>
            <m:r>
              <m:t>k</m:t>
            </m:r>
          </m:sub>
        </m:sSub>
        <m:d>
          <m:dPr>
            <m:begChr m:val="("/>
            <m:endChr m:val=")"/>
            <m:sepChr m:val=""/>
            <m:grow/>
          </m:dPr>
          <m:e>
            <m:sSub>
              <m:e>
                <m:r>
                  <m:t>E</m:t>
                </m:r>
              </m:e>
              <m:sub>
                <m:r>
                  <m:t>k</m:t>
                </m:r>
              </m:sub>
            </m:sSub>
            <m:r>
              <m:rPr>
                <m:sty m:val="p"/>
              </m:rPr>
              <m:t>−</m:t>
            </m:r>
            <m:sSub>
              <m:e>
                <m:r>
                  <m:t>E</m:t>
                </m:r>
              </m:e>
              <m:sub>
                <m:r>
                  <m:rPr>
                    <m:sty m:val="p"/>
                  </m:rPr>
                  <m:t>t</m:t>
                </m:r>
                <m:r>
                  <m:rPr>
                    <m:sty m:val="p"/>
                  </m:rPr>
                  <m:t>r</m:t>
                </m:r>
                <m:r>
                  <m:rPr>
                    <m:sty m:val="p"/>
                  </m:rPr>
                  <m:t>u</m:t>
                </m:r>
                <m:r>
                  <m:rPr>
                    <m:sty m:val="p"/>
                  </m:rPr>
                  <m:t>e</m:t>
                </m:r>
              </m:sub>
            </m:sSub>
          </m:e>
        </m:d>
      </m:oMath>
      <w:r>
        <w:t xml:space="preserve">。更新前后的符号得到四种结果：</w:t>
      </w:r>
      <m:oMath>
        <m:d>
          <m:dPr>
            <m:begChr m:val="("/>
            <m:endChr m:val=")"/>
            <m:sepChr m:val=""/>
            <m:grow/>
          </m:dPr>
          <m:e>
            <m:r>
              <m:t>1</m:t>
            </m:r>
            <m:r>
              <m:rPr>
                <m:sty m:val="p"/>
              </m:rPr>
              <m:t>,</m:t>
            </m:r>
            <m:r>
              <m:t>1</m:t>
            </m:r>
          </m:e>
        </m:d>
      </m:oMath>
      <w:r>
        <w:t xml:space="preserve">、</w:t>
      </w:r>
      <m:oMath>
        <m:d>
          <m:dPr>
            <m:begChr m:val="("/>
            <m:endChr m:val=")"/>
            <m:sepChr m:val=""/>
            <m:grow/>
          </m:dPr>
          <m:e>
            <m:r>
              <m:t>1</m:t>
            </m:r>
            <m:r>
              <m:rPr>
                <m:sty m:val="p"/>
              </m:rPr>
              <m:t>,</m:t>
            </m:r>
            <m:r>
              <m:t>0</m:t>
            </m:r>
          </m:e>
        </m:d>
      </m:oMath>
      <w:r>
        <w:t xml:space="preserve">、</w:t>
      </w:r>
      <m:oMath>
        <m:d>
          <m:dPr>
            <m:begChr m:val="("/>
            <m:endChr m:val=")"/>
            <m:sepChr m:val=""/>
            <m:grow/>
          </m:dPr>
          <m:e>
            <m:r>
              <m:t>0</m:t>
            </m:r>
            <m:r>
              <m:rPr>
                <m:sty m:val="p"/>
              </m:rPr>
              <m:t>,</m:t>
            </m:r>
            <m:r>
              <m:t>0</m:t>
            </m:r>
          </m:e>
        </m:d>
      </m:oMath>
      <w:r>
        <w:t xml:space="preserve"> </w:t>
      </w:r>
      <w:r>
        <w:t xml:space="preserve">和</w:t>
      </w:r>
      <w:r>
        <w:t xml:space="preserve"> </w:t>
      </w:r>
      <m:oMath>
        <m:d>
          <m:dPr>
            <m:begChr m:val="("/>
            <m:endChr m:val=")"/>
            <m:sepChr m:val=""/>
            <m:grow/>
          </m:dPr>
          <m:e>
            <m:r>
              <m:t>0</m:t>
            </m:r>
            <m:r>
              <m:rPr>
                <m:sty m:val="p"/>
              </m:rPr>
              <m:t>,</m:t>
            </m:r>
            <m:r>
              <m:t>1</m:t>
            </m:r>
          </m:e>
        </m:d>
      </m:oMath>
      <w:r>
        <w:t xml:space="preserve">，分别对应能力维持、丧失、尚未获得及恢复／获得。</w:t>
      </w:r>
    </w:p>
    <w:bookmarkEnd w:id="27"/>
    <w:bookmarkStart w:id="28" w:name="推理冻结调用与回滚"/>
    <w:p>
      <w:pPr>
        <w:pStyle w:val="Heading2"/>
      </w:pPr>
      <w:r>
        <w:t xml:space="preserve">2.4 推理：冻结调用与回滚</w:t>
      </w:r>
    </w:p>
    <w:p>
      <w:pPr>
        <w:pStyle w:val="FirstParagraph"/>
      </w:pPr>
      <w:r>
        <w:t xml:space="preserve">INF-E01 检验 13 条 nanoGPT 训练历史及 52 个已识别检查点；INF-G01/G02 与 GNN/SNN 实验进一步扩展这些测量。在固定的已学习状态</w:t>
      </w:r>
      <w:r>
        <w:t xml:space="preserve"> </w:t>
      </w:r>
      <m:oMath>
        <m:sSup>
          <m:e>
            <m:r>
              <m:t>L</m:t>
            </m:r>
          </m:e>
          <m:sup>
            <m:r>
              <m:rPr>
                <m:sty m:val="p"/>
              </m:rPr>
              <m:t>*</m:t>
            </m:r>
          </m:sup>
        </m:sSup>
      </m:oMath>
      <w:r>
        <w:t xml:space="preserve"> </w:t>
      </w:r>
      <w:r>
        <w:t xml:space="preserve">下，推理按照查询条件调用功能支撑，并在当前一次计算中将其组合：</w:t>
      </w:r>
    </w:p>
    <w:p>
      <w:pPr>
        <w:pStyle w:val="BodyText"/>
      </w:pPr>
      <m:oMathPara>
        <m:oMathParaPr>
          <m:jc m:val="center"/>
        </m:oMathParaPr>
        <m:oMath>
          <m:sSubSup>
            <m:e>
              <m:r>
                <m:t>S</m:t>
              </m:r>
            </m:e>
            <m:sub>
              <m:r>
                <m:t>q</m:t>
              </m:r>
              <m:r>
                <m:rPr>
                  <m:sty m:val="p"/>
                </m:rPr>
                <m:t>,</m:t>
              </m:r>
              <m:r>
                <m:t>c</m:t>
              </m:r>
            </m:sub>
            <m:sup>
              <m:r>
                <m:rPr>
                  <m:sty m:val="p"/>
                </m:rPr>
                <m:t>a</m:t>
              </m:r>
              <m:r>
                <m:rPr>
                  <m:sty m:val="p"/>
                </m:rPr>
                <m:t>c</m:t>
              </m:r>
              <m:r>
                <m:rPr>
                  <m:sty m:val="p"/>
                </m:rPr>
                <m:t>t</m:t>
              </m:r>
              <m:r>
                <m:rPr>
                  <m:sty m:val="p"/>
                </m:rPr>
                <m:t>i</m:t>
              </m:r>
              <m:r>
                <m:rPr>
                  <m:sty m:val="p"/>
                </m:rPr>
                <m:t>v</m:t>
              </m:r>
              <m:r>
                <m:rPr>
                  <m:sty m:val="p"/>
                </m:rPr>
                <m:t>e</m:t>
              </m:r>
            </m:sup>
          </m:sSubSup>
          <m:r>
            <m:rPr>
              <m:sty m:val="p"/>
            </m:rPr>
            <m:t>=</m:t>
          </m:r>
          <m:sSub>
            <m:e>
              <m:r>
                <m:t>Π</m:t>
              </m:r>
            </m:e>
            <m:sub>
              <m:r>
                <m:t>q</m:t>
              </m:r>
              <m:r>
                <m:rPr>
                  <m:sty m:val="p"/>
                </m:rPr>
                <m:t>,</m:t>
              </m:r>
              <m:r>
                <m:t>c</m:t>
              </m:r>
            </m:sub>
          </m:sSub>
          <m:d>
            <m:dPr>
              <m:begChr m:val="("/>
              <m:endChr m:val=")"/>
              <m:sepChr m:val=""/>
              <m:grow/>
            </m:dPr>
            <m:e>
              <m:sSup>
                <m:e>
                  <m:r>
                    <m:t>L</m:t>
                  </m:r>
                </m:e>
                <m:sup>
                  <m:r>
                    <m:rPr>
                      <m:sty m:val="p"/>
                    </m:rPr>
                    <m:t>*</m:t>
                  </m:r>
                </m:sup>
              </m:sSup>
            </m:e>
          </m:d>
          <m:r>
            <m:rPr>
              <m:sty m:val="p"/>
            </m:rPr>
            <m:t>,</m:t>
          </m:r>
          <m:r>
            <m:t>  </m:t>
          </m:r>
          <m:sSub>
            <m:e>
              <m:r>
                <m:t>y</m:t>
              </m:r>
            </m:e>
            <m:sub>
              <m:r>
                <m:t>q</m:t>
              </m:r>
              <m:r>
                <m:rPr>
                  <m:sty m:val="p"/>
                </m:rPr>
                <m:t>,</m:t>
              </m:r>
              <m:r>
                <m:t>c</m:t>
              </m:r>
            </m:sub>
          </m:sSub>
          <m:r>
            <m:rPr>
              <m:sty m:val="p"/>
            </m:rPr>
            <m:t>=</m:t>
          </m:r>
          <m:sSub>
            <m:e>
              <m:r>
                <m:t>H</m:t>
              </m:r>
            </m:e>
            <m:sub>
              <m:r>
                <m:t>q</m:t>
              </m:r>
              <m:r>
                <m:rPr>
                  <m:sty m:val="p"/>
                </m:rPr>
                <m:t>,</m:t>
              </m:r>
              <m:r>
                <m:t>c</m:t>
              </m:r>
            </m:sub>
          </m:sSub>
          <m:d>
            <m:dPr>
              <m:begChr m:val="("/>
              <m:endChr m:val=")"/>
              <m:sepChr m:val=""/>
              <m:grow/>
            </m:dPr>
            <m:e>
              <m:sSubSup>
                <m:e>
                  <m:r>
                    <m:t>S</m:t>
                  </m:r>
                </m:e>
                <m:sub>
                  <m:r>
                    <m:t>q</m:t>
                  </m:r>
                  <m:r>
                    <m:rPr>
                      <m:sty m:val="p"/>
                    </m:rPr>
                    <m:t>,</m:t>
                  </m:r>
                  <m:r>
                    <m:t>c</m:t>
                  </m:r>
                </m:sub>
                <m:sup>
                  <m:r>
                    <m:rPr>
                      <m:sty m:val="p"/>
                    </m:rPr>
                    <m:t>a</m:t>
                  </m:r>
                  <m:r>
                    <m:rPr>
                      <m:sty m:val="p"/>
                    </m:rPr>
                    <m:t>c</m:t>
                  </m:r>
                  <m:r>
                    <m:rPr>
                      <m:sty m:val="p"/>
                    </m:rPr>
                    <m:t>t</m:t>
                  </m:r>
                  <m:r>
                    <m:rPr>
                      <m:sty m:val="p"/>
                    </m:rPr>
                    <m:t>i</m:t>
                  </m:r>
                  <m:r>
                    <m:rPr>
                      <m:sty m:val="p"/>
                    </m:rPr>
                    <m:t>v</m:t>
                  </m:r>
                  <m:r>
                    <m:rPr>
                      <m:sty m:val="p"/>
                    </m:rPr>
                    <m:t>e</m:t>
                  </m:r>
                </m:sup>
              </m:sSubSup>
            </m:e>
          </m:d>
          <m:r>
            <m:rPr>
              <m:sty m:val="p"/>
            </m:rPr>
            <m:t>.</m:t>
          </m:r>
        </m:oMath>
      </m:oMathPara>
    </w:p>
    <w:p>
      <w:pPr>
        <w:pStyle w:val="FirstParagraph"/>
      </w:pPr>
      <w:r>
        <w:t xml:space="preserve">冻结组件门控在</w:t>
      </w:r>
      <w:r>
        <w:rPr>
          <w:b/>
          <w:bCs/>
        </w:rPr>
        <w:t xml:space="preserve">完整输出</w:t>
      </w:r>
      <w:r>
        <w:t xml:space="preserve">层面测量非加性：</w:t>
      </w:r>
    </w:p>
    <w:p>
      <w:pPr>
        <w:pStyle w:val="BodyText"/>
      </w:pPr>
      <m:oMathPara>
        <m:oMathParaPr>
          <m:jc m:val="center"/>
        </m:oMathParaPr>
        <m:oMath>
          <m:sSub>
            <m:e>
              <m:r>
                <m:t>I</m:t>
              </m:r>
            </m:e>
            <m:sub>
              <m:r>
                <m:t>i</m:t>
              </m:r>
              <m:r>
                <m:t>j</m:t>
              </m:r>
              <m:r>
                <m:rPr>
                  <m:sty m:val="p"/>
                </m:rPr>
                <m:t>,</m:t>
              </m:r>
              <m:r>
                <m:t>q</m:t>
              </m:r>
            </m:sub>
          </m:sSub>
          <m:r>
            <m:rPr>
              <m:sty m:val="p"/>
            </m:rPr>
            <m:t>=</m:t>
          </m:r>
          <m:sSub>
            <m:e>
              <m:r>
                <m:t>f</m:t>
              </m:r>
            </m:e>
            <m:sub>
              <m:r>
                <m:rPr>
                  <m:sty m:val="p"/>
                </m:rPr>
                <m:t>f</m:t>
              </m:r>
              <m:r>
                <m:rPr>
                  <m:sty m:val="p"/>
                </m:rPr>
                <m:t>u</m:t>
              </m:r>
              <m:r>
                <m:rPr>
                  <m:sty m:val="p"/>
                </m:rPr>
                <m:t>l</m:t>
              </m:r>
              <m:r>
                <m:rPr>
                  <m:sty m:val="p"/>
                </m:rPr>
                <m:t>l</m:t>
              </m:r>
            </m:sub>
          </m:sSub>
          <m:r>
            <m:rPr>
              <m:sty m:val="p"/>
            </m:rPr>
            <m:t>−</m:t>
          </m:r>
          <m:sSub>
            <m:e>
              <m:r>
                <m:t>f</m:t>
              </m:r>
            </m:e>
            <m:sub>
              <m:r>
                <m:rPr>
                  <m:sty m:val="p"/>
                </m:rPr>
                <m:t>−</m:t>
              </m:r>
              <m:r>
                <m:t>i</m:t>
              </m:r>
            </m:sub>
          </m:sSub>
          <m:r>
            <m:rPr>
              <m:sty m:val="p"/>
            </m:rPr>
            <m:t>−</m:t>
          </m:r>
          <m:sSub>
            <m:e>
              <m:r>
                <m:t>f</m:t>
              </m:r>
            </m:e>
            <m:sub>
              <m:r>
                <m:rPr>
                  <m:sty m:val="p"/>
                </m:rPr>
                <m:t>−</m:t>
              </m:r>
              <m:r>
                <m:t>j</m:t>
              </m:r>
            </m:sub>
          </m:sSub>
          <m:r>
            <m:rPr>
              <m:sty m:val="p"/>
            </m:rPr>
            <m:t>+</m:t>
          </m:r>
          <m:sSub>
            <m:e>
              <m:r>
                <m:t>f</m:t>
              </m:r>
            </m:e>
            <m:sub>
              <m:r>
                <m:rPr>
                  <m:sty m:val="p"/>
                </m:rPr>
                <m:t>−</m:t>
              </m:r>
              <m:r>
                <m:t>i</m:t>
              </m:r>
              <m:r>
                <m:rPr>
                  <m:sty m:val="p"/>
                </m:rPr>
                <m:t>,</m:t>
              </m:r>
              <m:r>
                <m:rPr>
                  <m:sty m:val="p"/>
                </m:rPr>
                <m:t>−</m:t>
              </m:r>
              <m:r>
                <m:t>j</m:t>
              </m:r>
            </m:sub>
          </m:sSub>
          <m:r>
            <m:rPr>
              <m:sty m:val="p"/>
            </m:rPr>
            <m:t>.</m:t>
          </m:r>
        </m:oMath>
      </m:oMathPara>
    </w:p>
    <w:p>
      <w:pPr>
        <w:pStyle w:val="FirstParagraph"/>
      </w:pPr>
      <w:r>
        <w:t xml:space="preserve">随后，将每个训练完成的组件单独替换为其精确的学习前版本，其他训练后的参数保持固定；由此产生的输出效应为：</w:t>
      </w:r>
    </w:p>
    <w:p>
      <w:pPr>
        <w:pStyle w:val="BodyText"/>
      </w:pPr>
      <m:oMathPara>
        <m:oMathParaPr>
          <m:jc m:val="center"/>
        </m:oMathParaPr>
        <m:oMath>
          <m:sSub>
            <m:e>
              <m:r>
                <m:t>D</m:t>
              </m:r>
            </m:e>
            <m:sub>
              <m:r>
                <m:t>j</m:t>
              </m:r>
              <m:r>
                <m:rPr>
                  <m:sty m:val="p"/>
                </m:rPr>
                <m:t>,</m:t>
              </m:r>
              <m:r>
                <m:t>q</m:t>
              </m:r>
            </m:sub>
          </m:sSub>
          <m:r>
            <m:rPr>
              <m:sty m:val="p"/>
            </m:rPr>
            <m:t>=</m:t>
          </m:r>
          <m:r>
            <m:t>f</m:t>
          </m:r>
          <m:d>
            <m:dPr>
              <m:begChr m:val="("/>
              <m:endChr m:val=")"/>
              <m:sepChr m:val=""/>
              <m:grow/>
            </m:dPr>
            <m:e>
              <m:r>
                <m:t>q</m:t>
              </m:r>
              <m:r>
                <m:rPr>
                  <m:sty m:val="p"/>
                </m:rPr>
                <m:t>;</m:t>
              </m:r>
              <m:sSup>
                <m:e>
                  <m:r>
                    <m:t>θ</m:t>
                  </m:r>
                </m:e>
                <m:sup>
                  <m:r>
                    <m:rPr>
                      <m:sty m:val="p"/>
                    </m:rPr>
                    <m:t>*</m:t>
                  </m:r>
                </m:sup>
              </m:sSup>
            </m:e>
          </m:d>
          <m:r>
            <m:rPr>
              <m:sty m:val="p"/>
            </m:rPr>
            <m:t>−</m:t>
          </m:r>
          <m:r>
            <m:t>f</m:t>
          </m:r>
          <m:d>
            <m:dPr>
              <m:begChr m:val="("/>
              <m:endChr m:val=")"/>
              <m:sepChr m:val=""/>
              <m:grow/>
            </m:dPr>
            <m:e>
              <m:r>
                <m:t>q</m:t>
              </m:r>
              <m:r>
                <m:rPr>
                  <m:sty m:val="p"/>
                </m:rPr>
                <m:t>;</m:t>
              </m:r>
              <m:sSup>
                <m:e>
                  <m:r>
                    <m:t>θ</m:t>
                  </m:r>
                </m:e>
                <m:sup>
                  <m:d>
                    <m:dPr>
                      <m:begChr m:val="("/>
                      <m:endChr m:val=")"/>
                      <m:sepChr m:val=""/>
                      <m:grow/>
                    </m:dPr>
                    <m:e>
                      <m:r>
                        <m:t>j</m:t>
                      </m:r>
                      <m:r>
                        <m:rPr>
                          <m:sty m:val="p"/>
                        </m:rPr>
                        <m:t>←</m:t>
                      </m:r>
                      <m:r>
                        <m:rPr>
                          <m:sty m:val="p"/>
                        </m:rPr>
                        <m:t>p</m:t>
                      </m:r>
                      <m:r>
                        <m:rPr>
                          <m:sty m:val="p"/>
                        </m:rPr>
                        <m:t>r</m:t>
                      </m:r>
                      <m:r>
                        <m:rPr>
                          <m:sty m:val="p"/>
                        </m:rPr>
                        <m:t>e</m:t>
                      </m:r>
                    </m:e>
                  </m:d>
                </m:sup>
              </m:sSup>
            </m:e>
          </m:d>
          <m:r>
            <m:rPr>
              <m:sty m:val="p"/>
            </m:rPr>
            <m:t>.</m:t>
          </m:r>
        </m:oMath>
      </m:oMathPara>
    </w:p>
    <w:p>
      <w:pPr>
        <w:pStyle w:val="FirstParagraph"/>
      </w:pPr>
      <w:r>
        <w:t xml:space="preserve">最后恢复该组件原来的训练后版本，并检查输出与持久模型／优化器状态是否精确恢复。</w:t>
      </w:r>
    </w:p>
    <w:bookmarkEnd w:id="28"/>
    <w:bookmarkStart w:id="29" w:name="强化正确反馈的重新分配"/>
    <w:p>
      <w:pPr>
        <w:pStyle w:val="Heading2"/>
      </w:pPr>
      <w:r>
        <w:t xml:space="preserve">2.5 强化：正确反馈的重新分配</w:t>
      </w:r>
    </w:p>
    <w:p>
      <w:pPr>
        <w:pStyle w:val="FirstParagraph"/>
      </w:pPr>
      <w:r>
        <w:t xml:space="preserve">强化是 TLIR 中与其他角色平级的一部分，而不是附加在 TLI 上的内容。RL-E05 和 RL-E06 从一个不使用注意力机制的共享 GRU 策略出发，此时</w:t>
      </w:r>
      <w:r>
        <w:rPr>
          <w:b/>
          <w:bCs/>
        </w:rPr>
        <w:t xml:space="preserve">四项能力都已达到掌握水平</w:t>
      </w:r>
      <w:r>
        <w:t xml:space="preserve">。各实验分支拥有相匹配的初始参数—AdamW 状态。只有完整的两次决策链正确时才获得</w:t>
      </w:r>
      <w:r>
        <w:t xml:space="preserve"> </w:t>
      </w:r>
      <m:oMath>
        <m:r>
          <m:t>r</m:t>
        </m:r>
        <m:r>
          <m:rPr>
            <m:sty m:val="p"/>
          </m:rPr>
          <m:t>=</m:t>
        </m:r>
        <m:r>
          <m:t>1</m:t>
        </m:r>
      </m:oMath>
      <w:r>
        <w:t xml:space="preserve">，否则为</w:t>
      </w:r>
      <w:r>
        <w:t xml:space="preserve"> </w:t>
      </w:r>
      <m:oMath>
        <m:r>
          <m:t>r</m:t>
        </m:r>
        <m:r>
          <m:rPr>
            <m:sty m:val="p"/>
          </m:rPr>
          <m:t>=</m:t>
        </m:r>
        <m:r>
          <m:t>0</m:t>
        </m:r>
      </m:oMath>
      <w:r>
        <w:t xml:space="preserve">。干预改变的是</w:t>
      </w:r>
      <w:r>
        <w:rPr>
          <w:b/>
          <w:bCs/>
        </w:rPr>
        <w:t xml:space="preserve">正确反馈集中在哪些能力上</w:t>
      </w:r>
      <w:r>
        <w:t xml:space="preserve">，而不是奖励规则。</w:t>
      </w:r>
    </w:p>
    <w:p>
      <w:pPr>
        <w:pStyle w:val="BodyText"/>
      </w:pPr>
      <w:r>
        <w:t xml:space="preserve">RL-E05 比较仅向一项已掌握能力提供选择性反馈、向四项能力提供均衡反馈，以及只有接触而不执行参数更新的冻结条件。利用四组 GRU 组件的全部 16 种联盟测量 Shapley 支撑和任务间隔；并通过 15 种非空组件版本回滚组合检验观察到的能力权衡。</w:t>
      </w:r>
    </w:p>
    <w:p>
      <w:pPr>
        <w:pStyle w:val="BodyText"/>
      </w:pPr>
      <w:r>
        <w:t xml:space="preserve">RL-E06 在改变反馈分配的同时，将每次更新的 60 个 episode 和总共 3,200 次更新的预算保持不变（表 2）。在独占反馈第 800 次更新时，从完全相同的状态分出两个恢复分支，各继续训练 2,400 次更新：重新均衡分配</w:t>
      </w:r>
      <w:r>
        <w:t xml:space="preserve"> </w:t>
      </w:r>
      <m:oMath>
        <m:d>
          <m:dPr>
            <m:begChr m:val="["/>
            <m:endChr m:val="]"/>
            <m:sepChr m:val=""/>
            <m:grow/>
          </m:dPr>
          <m:e>
            <m:r>
              <m:t>15</m:t>
            </m:r>
            <m:r>
              <m:rPr>
                <m:sty m:val="p"/>
              </m:rPr>
              <m:t>,</m:t>
            </m:r>
            <m:r>
              <m:t>15</m:t>
            </m:r>
            <m:r>
              <m:rPr>
                <m:sty m:val="p"/>
              </m:rPr>
              <m:t>,</m:t>
            </m:r>
            <m:r>
              <m:t>15</m:t>
            </m:r>
            <m:r>
              <m:rPr>
                <m:sty m:val="p"/>
              </m:rPr>
              <m:t>,</m:t>
            </m:r>
            <m:r>
              <m:t>15</m:t>
            </m:r>
          </m:e>
        </m:d>
      </m:oMath>
      <w:r>
        <w:t xml:space="preserve">，或仅训练其他能力</w:t>
      </w:r>
      <w:r>
        <w:t xml:space="preserve"> </w:t>
      </w:r>
      <m:oMath>
        <m:d>
          <m:dPr>
            <m:begChr m:val="["/>
            <m:endChr m:val="]"/>
            <m:sepChr m:val=""/>
            <m:grow/>
          </m:dPr>
          <m:e>
            <m:r>
              <m:t>0</m:t>
            </m:r>
            <m:r>
              <m:rPr>
                <m:sty m:val="p"/>
              </m:rPr>
              <m:t>,</m:t>
            </m:r>
            <m:r>
              <m:t>20</m:t>
            </m:r>
            <m:r>
              <m:rPr>
                <m:sty m:val="p"/>
              </m:rPr>
              <m:t>,</m:t>
            </m:r>
            <m:r>
              <m:t>20</m:t>
            </m:r>
            <m:r>
              <m:rPr>
                <m:sty m:val="p"/>
              </m:rPr>
              <m:t>,</m:t>
            </m:r>
            <m:r>
              <m:t>20</m:t>
            </m:r>
          </m:e>
        </m:d>
      </m:oMath>
      <w:r>
        <w:t xml:space="preserve">。在同一已学习策略上测量反馈剂量、支撑份额、连续目标间隔、正确性和恢复。该实验将内部间隔侵蚀与随后发生的二值能力丧失区分开，并检验改变反馈分配是否会逆转两者。</w:t>
      </w:r>
    </w:p>
    <w:p>
      <w:pPr>
        <w:pStyle w:val="BodyText"/>
      </w:pPr>
      <w:r>
        <w:rPr>
          <w:b/>
          <w:bCs/>
        </w:rPr>
        <w:t xml:space="preserve">表 2｜RL-E06 每次更新分配给各能力的反馈 episode 数。</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反馈条件</w:t>
            </w:r>
          </w:p>
        </w:tc>
        <w:tc>
          <w:tcPr/>
          <w:p>
            <w:pPr>
              <w:pStyle w:val="Compact"/>
              <w:jc w:val="right"/>
            </w:pPr>
            <m:oMath>
              <m:sSub>
                <m:e>
                  <m:r>
                    <m:t>q</m:t>
                  </m:r>
                </m:e>
                <m:sub>
                  <m:r>
                    <m:t>0</m:t>
                  </m:r>
                </m:sub>
              </m:sSub>
            </m:oMath>
          </w:p>
        </w:tc>
        <w:tc>
          <w:tcPr/>
          <w:p>
            <w:pPr>
              <w:pStyle w:val="Compact"/>
              <w:jc w:val="right"/>
            </w:pPr>
            <m:oMath>
              <m:sSub>
                <m:e>
                  <m:r>
                    <m:t>q</m:t>
                  </m:r>
                </m:e>
                <m:sub>
                  <m:r>
                    <m:t>1</m:t>
                  </m:r>
                </m:sub>
              </m:sSub>
            </m:oMath>
          </w:p>
        </w:tc>
        <w:tc>
          <w:tcPr/>
          <w:p>
            <w:pPr>
              <w:pStyle w:val="Compact"/>
              <w:jc w:val="right"/>
            </w:pPr>
            <m:oMath>
              <m:sSub>
                <m:e>
                  <m:r>
                    <m:t>q</m:t>
                  </m:r>
                </m:e>
                <m:sub>
                  <m:r>
                    <m:t>2</m:t>
                  </m:r>
                </m:sub>
              </m:sSub>
            </m:oMath>
          </w:p>
        </w:tc>
        <w:tc>
          <w:tcPr/>
          <w:p>
            <w:pPr>
              <w:pStyle w:val="Compact"/>
              <w:jc w:val="right"/>
            </w:pPr>
            <m:oMath>
              <m:sSub>
                <m:e>
                  <m:r>
                    <m:t>q</m:t>
                  </m:r>
                </m:e>
                <m:sub>
                  <m:r>
                    <m:t>3</m:t>
                  </m:r>
                </m:sub>
              </m:sSub>
            </m:oMath>
          </w:p>
        </w:tc>
      </w:tr>
      <w:tr>
        <w:tc>
          <w:tcPr/>
          <w:p>
            <w:pPr>
              <w:pStyle w:val="Compact"/>
              <w:jc w:val="left"/>
            </w:pPr>
            <w:r>
              <w:t xml:space="preserve">均衡（Balanced）</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r>
      <w:tr>
        <w:tc>
          <w:tcPr/>
          <w:p>
            <w:pPr>
              <w:pStyle w:val="Compact"/>
              <w:jc w:val="left"/>
            </w:pPr>
            <w:r>
              <w:t xml:space="preserve">轻度集中（Mild）</w:t>
            </w:r>
          </w:p>
        </w:tc>
        <w:tc>
          <w:tcPr/>
          <w:p>
            <w:pPr>
              <w:pStyle w:val="Compact"/>
              <w:jc w:val="right"/>
            </w:pPr>
            <w:r>
              <w:t xml:space="preserve">30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高度集中（High）</w:t>
            </w:r>
          </w:p>
        </w:tc>
        <w:tc>
          <w:tcPr/>
          <w:p>
            <w:pPr>
              <w:pStyle w:val="Compact"/>
              <w:jc w:val="right"/>
            </w:pPr>
            <w:r>
              <w:t xml:space="preserve">45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独占（Exclusive）</w:t>
            </w:r>
          </w:p>
        </w:tc>
        <w:tc>
          <w:tcPr/>
          <w:p>
            <w:pPr>
              <w:pStyle w:val="Compact"/>
              <w:jc w:val="right"/>
            </w:pPr>
            <w:r>
              <w:t xml:space="preserve">60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29"/>
    <w:bookmarkStart w:id="33" w:name="预测与索引化证据"/>
    <w:p>
      <w:pPr>
        <w:pStyle w:val="Heading2"/>
      </w:pPr>
      <w:r>
        <w:t xml:space="preserve">2.6 预测与索引化证据</w:t>
      </w:r>
    </w:p>
    <w:p>
      <w:pPr>
        <w:pStyle w:val="FirstParagraph"/>
      </w:pPr>
      <w:r>
        <w:t xml:space="preserve">TL-P01 在</w:t>
      </w:r>
      <w:r>
        <w:rPr>
          <w:b/>
          <w:bCs/>
        </w:rPr>
        <w:t xml:space="preserve">实际更新形成之后</w:t>
      </w:r>
      <w:r>
        <w:t xml:space="preserve">、但尚未读取更新后目标响应之前，预测即时目标边界。对于目标</w:t>
      </w:r>
      <w:r>
        <w:t xml:space="preserve"> </w:t>
      </w:r>
      <m:oMath>
        <m:r>
          <m:t>y</m:t>
        </m:r>
      </m:oMath>
      <w:r>
        <w:t xml:space="preserve">、竞争类别</w:t>
      </w:r>
      <w:r>
        <w:t xml:space="preserve"> </w:t>
      </w:r>
      <m:oMath>
        <m:r>
          <m:t>c</m:t>
        </m:r>
      </m:oMath>
      <w:r>
        <w:t xml:space="preserve"> </w:t>
      </w:r>
      <w:r>
        <w:t xml:space="preserve">和隐藏输出</w:t>
      </w:r>
      <w:r>
        <w:t xml:space="preserve"> </w:t>
      </w:r>
      <m:oMath>
        <m:r>
          <m:t>h</m:t>
        </m:r>
      </m:oMath>
      <w:r>
        <w:t xml:space="preserve">，定义</w:t>
      </w:r>
      <w:r>
        <w:t xml:space="preserve"> </w:t>
      </w:r>
      <m:oMath>
        <m:sSub>
          <m:e>
            <m:r>
              <m:t>b</m:t>
            </m:r>
          </m:e>
          <m:sub>
            <m:r>
              <m:t>c</m:t>
            </m:r>
          </m:sub>
        </m:sSub>
        <m:r>
          <m:rPr>
            <m:sty m:val="p"/>
          </m:rPr>
          <m:t>=</m:t>
        </m:r>
        <m:sSub>
          <m:e>
            <m:r>
              <m:t>w</m:t>
            </m:r>
          </m:e>
          <m:sub>
            <m:r>
              <m:t>y</m:t>
            </m:r>
          </m:sub>
        </m:sSub>
        <m:r>
          <m:rPr>
            <m:sty m:val="p"/>
          </m:rPr>
          <m:t>−</m:t>
        </m:r>
        <m:sSub>
          <m:e>
            <m:r>
              <m:t>w</m:t>
            </m:r>
          </m:e>
          <m:sub>
            <m:r>
              <m:t>c</m:t>
            </m:r>
          </m:sub>
        </m:sSub>
      </m:oMath>
      <w:r>
        <w:t xml:space="preserve">、</w:t>
      </w:r>
      <m:oMath>
        <m:r>
          <m:t>Δ</m:t>
        </m:r>
        <m:sSub>
          <m:e>
            <m:r>
              <m:t>b</m:t>
            </m:r>
          </m:e>
          <m:sub>
            <m:r>
              <m:t>c</m:t>
            </m:r>
          </m:sub>
        </m:sSub>
        <m:r>
          <m:rPr>
            <m:sty m:val="p"/>
          </m:rPr>
          <m:t>=</m:t>
        </m:r>
        <m:r>
          <m:t>Δ</m:t>
        </m:r>
        <m:sSub>
          <m:e>
            <m:r>
              <m:t>w</m:t>
            </m:r>
          </m:e>
          <m:sub>
            <m:r>
              <m:t>y</m:t>
            </m:r>
          </m:sub>
        </m:sSub>
        <m:r>
          <m:rPr>
            <m:sty m:val="p"/>
          </m:rPr>
          <m:t>−</m:t>
        </m:r>
        <m:r>
          <m:t>Δ</m:t>
        </m:r>
        <m:sSub>
          <m:e>
            <m:r>
              <m:t>w</m:t>
            </m:r>
          </m:e>
          <m:sub>
            <m:r>
              <m:t>c</m:t>
            </m:r>
          </m:sub>
        </m:sSub>
      </m:oMath>
      <w:r>
        <w:t xml:space="preserve">。冻结的</w:t>
      </w:r>
      <w:r>
        <w:t xml:space="preserve"> </w:t>
      </w:r>
      <w:r>
        <w:rPr>
          <w:rStyle w:val="VerbatimChar"/>
        </w:rPr>
        <w:t xml:space="preserve">quadratic_complete</w:t>
      </w:r>
      <w:r>
        <w:t xml:space="preserve"> </w:t>
      </w:r>
      <w:r>
        <w:t xml:space="preserve">算法使用更新前沿实际更新方向的一阶及二阶导数</w:t>
      </w:r>
      <w:r>
        <w:t xml:space="preserve"> </w:t>
      </w:r>
      <m:oMath>
        <m:r>
          <m:t>h</m:t>
        </m:r>
        <m:r>
          <m:rPr>
            <m:sty m:val="p"/>
          </m:rPr>
          <m:t>′</m:t>
        </m:r>
        <m:r>
          <m:rPr>
            <m:sty m:val="p"/>
          </m:rPr>
          <m:t>=</m:t>
        </m:r>
        <m:r>
          <m:t>D</m:t>
        </m:r>
        <m:r>
          <m:t>h</m:t>
        </m:r>
        <m:d>
          <m:dPr>
            <m:begChr m:val="["/>
            <m:endChr m:val="]"/>
            <m:sepChr m:val=""/>
            <m:grow/>
          </m:dPr>
          <m:e>
            <m:r>
              <m:t>Δ</m:t>
            </m:r>
            <m:sSub>
              <m:e>
                <m:r>
                  <m:t>θ</m:t>
                </m:r>
              </m:e>
              <m:sub>
                <m:r>
                  <m:t>t</m:t>
                </m:r>
              </m:sub>
            </m:sSub>
          </m:e>
        </m:d>
      </m:oMath>
      <w:r>
        <w:t xml:space="preserve"> </w:t>
      </w:r>
      <w:r>
        <w:t xml:space="preserve">与</w:t>
      </w:r>
      <w:r>
        <w:t xml:space="preserve"> </w:t>
      </w:r>
      <m:oMath>
        <m:r>
          <m:t>h</m:t>
        </m:r>
        <m:r>
          <m:rPr>
            <m:sty m:val="p"/>
          </m:rPr>
          <m:t>″</m:t>
        </m:r>
        <m:r>
          <m:rPr>
            <m:sty m:val="p"/>
          </m:rPr>
          <m:t>=</m:t>
        </m:r>
        <m:sSup>
          <m:e>
            <m:r>
              <m:t>D</m:t>
            </m:r>
          </m:e>
          <m:sup>
            <m:r>
              <m:t>2</m:t>
            </m:r>
          </m:sup>
        </m:sSup>
        <m:r>
          <m:t>h</m:t>
        </m:r>
        <m:d>
          <m:dPr>
            <m:begChr m:val="["/>
            <m:endChr m:val="]"/>
            <m:sepChr m:val=""/>
            <m:grow/>
          </m:dPr>
          <m:e>
            <m:r>
              <m:t>Δ</m:t>
            </m:r>
            <m:sSub>
              <m:e>
                <m:r>
                  <m:t>θ</m:t>
                </m:r>
              </m:e>
              <m:sub>
                <m:r>
                  <m:t>t</m:t>
                </m:r>
              </m:sub>
            </m:sSub>
            <m:r>
              <m:rPr>
                <m:sty m:val="p"/>
              </m:rPr>
              <m:t>,</m:t>
            </m:r>
            <m:r>
              <m:t>Δ</m:t>
            </m:r>
            <m:sSub>
              <m:e>
                <m:r>
                  <m:t>θ</m:t>
                </m:r>
              </m:e>
              <m:sub>
                <m:r>
                  <m:t>t</m:t>
                </m:r>
              </m:sub>
            </m:sSub>
          </m:e>
        </m: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t>g</m:t>
                        </m:r>
                      </m:e>
                    </m:acc>
                  </m:e>
                  <m:sub>
                    <m:r>
                      <m:t>y</m:t>
                    </m:r>
                    <m:r>
                      <m:rPr>
                        <m:sty m:val="p"/>
                      </m:rPr>
                      <m:t>,</m:t>
                    </m:r>
                    <m:r>
                      <m:t>c</m:t>
                    </m:r>
                  </m:sub>
                </m:sSub>
                <m:r>
                  <m:rPr>
                    <m:sty m:val="p"/>
                  </m:rPr>
                  <m:t>=</m:t>
                </m:r>
                <m:r>
                  <m:t>​</m:t>
                </m:r>
              </m:e>
              <m:e>
                <m:sSubSup>
                  <m:e>
                    <m:r>
                      <m:t>b</m:t>
                    </m:r>
                  </m:e>
                  <m:sub>
                    <m:r>
                      <m:t>c</m:t>
                    </m:r>
                  </m:sub>
                  <m:sup>
                    <m:r>
                      <m:rPr>
                        <m:sty m:val="p"/>
                      </m:rPr>
                      <m:t>⊤</m:t>
                    </m:r>
                  </m:sup>
                </m:sSubSup>
                <m:r>
                  <m:t>h</m:t>
                </m:r>
                <m:r>
                  <m:rPr>
                    <m:sty m:val="p"/>
                  </m:rPr>
                  <m:t>+</m:t>
                </m:r>
                <m:r>
                  <m:t>Δ</m:t>
                </m:r>
                <m:sSubSup>
                  <m:e>
                    <m:r>
                      <m:t>b</m:t>
                    </m:r>
                  </m:e>
                  <m:sub>
                    <m:r>
                      <m:t>c</m:t>
                    </m:r>
                  </m:sub>
                  <m:sup>
                    <m:r>
                      <m:rPr>
                        <m:sty m:val="p"/>
                      </m:rPr>
                      <m:t>⊤</m:t>
                    </m:r>
                  </m:sup>
                </m:sSubSup>
                <m:r>
                  <m:t>h</m:t>
                </m:r>
                <m:r>
                  <m:rPr>
                    <m:sty m:val="p"/>
                  </m:rPr>
                  <m:t>+</m:t>
                </m:r>
                <m:sSubSup>
                  <m:e>
                    <m:r>
                      <m:t>b</m:t>
                    </m:r>
                  </m:e>
                  <m:sub>
                    <m:r>
                      <m:t>c</m:t>
                    </m:r>
                  </m:sub>
                  <m:sup>
                    <m:r>
                      <m:rPr>
                        <m:sty m:val="p"/>
                      </m:rPr>
                      <m:t>⊤</m:t>
                    </m:r>
                  </m:sup>
                </m:sSubSup>
                <m:r>
                  <m:t>h</m:t>
                </m:r>
                <m:r>
                  <m:rPr>
                    <m:sty m:val="p"/>
                  </m:rPr>
                  <m:t>′</m:t>
                </m:r>
              </m:e>
            </m:mr>
            <m:mr>
              <m:e/>
              <m:e>
                <m:r>
                  <m:rPr>
                    <m:sty m:val="p"/>
                  </m:rPr>
                  <m:t>+</m:t>
                </m:r>
                <m:r>
                  <m:t>Δ</m:t>
                </m:r>
                <m:sSubSup>
                  <m:e>
                    <m:r>
                      <m:t>b</m:t>
                    </m:r>
                  </m:e>
                  <m:sub>
                    <m:r>
                      <m:t>c</m:t>
                    </m:r>
                  </m:sub>
                  <m:sup>
                    <m:r>
                      <m:rPr>
                        <m:sty m:val="p"/>
                      </m:rPr>
                      <m:t>⊤</m:t>
                    </m:r>
                  </m:sup>
                </m:sSubSup>
                <m:r>
                  <m:t>h</m:t>
                </m:r>
                <m:r>
                  <m:rPr>
                    <m:sty m:val="p"/>
                  </m:rPr>
                  <m:t>′</m:t>
                </m:r>
                <m:r>
                  <m:rPr>
                    <m:sty m:val="p"/>
                  </m:rPr>
                  <m:t>+</m:t>
                </m:r>
                <m:f>
                  <m:fPr>
                    <m:type m:val="lin"/>
                  </m:fPr>
                  <m:num>
                    <m:r>
                      <m:t>1</m:t>
                    </m:r>
                  </m:num>
                  <m:den>
                    <m:r>
                      <m:t>2</m:t>
                    </m:r>
                  </m:den>
                </m:f>
                <m:sSubSup>
                  <m:e>
                    <m:r>
                      <m:t>b</m:t>
                    </m:r>
                  </m:e>
                  <m:sub>
                    <m:r>
                      <m:t>c</m:t>
                    </m:r>
                  </m:sub>
                  <m:sup>
                    <m:r>
                      <m:rPr>
                        <m:sty m:val="p"/>
                      </m:rPr>
                      <m:t>⊤</m:t>
                    </m:r>
                  </m:sup>
                </m:sSubSup>
                <m:r>
                  <m:t>h</m:t>
                </m:r>
                <m:r>
                  <m:rPr>
                    <m:sty m:val="p"/>
                  </m:rPr>
                  <m:t>″</m:t>
                </m:r>
                <m:r>
                  <m:rPr>
                    <m:sty m:val="p"/>
                  </m:rPr>
                  <m:t>.</m:t>
                </m:r>
              </m:e>
            </m:mr>
          </m:m>
        </m:oMath>
      </m:oMathPara>
    </w:p>
    <w:p>
      <w:pPr>
        <w:pStyle w:val="FirstParagraph"/>
      </w:pPr>
      <w:r>
        <w:t xml:space="preserve">当且仅当</w:t>
      </w:r>
      <w:r>
        <w:t xml:space="preserve"> </w:t>
      </w:r>
      <m:oMath>
        <m:sSub>
          <m:e>
            <m:r>
              <m:rPr>
                <m:sty m:val="p"/>
              </m:rPr>
              <m:t>min</m:t>
            </m:r>
          </m:e>
          <m:sub>
            <m:r>
              <m:t>c</m:t>
            </m:r>
            <m:r>
              <m:rPr>
                <m:sty m:val="p"/>
              </m:rPr>
              <m:t>≠</m:t>
            </m:r>
            <m:r>
              <m:t>y</m:t>
            </m:r>
          </m:sub>
        </m:sSub>
        <m:sSub>
          <m:e>
            <m:acc>
              <m:accPr>
                <m:chr m:val="̂"/>
              </m:accPr>
              <m:e>
                <m:r>
                  <m:t>g</m:t>
                </m:r>
              </m:e>
            </m:acc>
          </m:e>
          <m:sub>
            <m:r>
              <m:t>y</m:t>
            </m:r>
            <m:r>
              <m:rPr>
                <m:sty m:val="p"/>
              </m:rPr>
              <m:t>,</m:t>
            </m:r>
            <m:r>
              <m:t>c</m:t>
            </m:r>
          </m:sub>
        </m:sSub>
        <m:r>
          <m:rPr>
            <m:sty m:val="p"/>
          </m:rPr>
          <m:t>&gt;</m:t>
        </m:r>
        <m:r>
          <m:t>0</m:t>
        </m:r>
      </m:oMath>
      <w:r>
        <w:t xml:space="preserve"> </w:t>
      </w:r>
      <w:r>
        <w:t xml:space="preserve">时，才预测该目标正确；结合初始正确性与预测正确性即可得到四种目标状态转移。预测在更新后结果裁决之前被封存。跨系统预测器根据各自的原生任务调整方向响应计算。</w:t>
      </w:r>
    </w:p>
    <w:p>
      <w:pPr>
        <w:pStyle w:val="BodyText"/>
      </w:pPr>
      <w:r>
        <w:rPr>
          <w:b/>
          <w:bCs/>
        </w:rPr>
        <w:t xml:space="preserve">表 3｜索引化实验链及其检验的关系。</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实验索引</w:t>
            </w:r>
          </w:p>
        </w:tc>
        <w:tc>
          <w:tcPr/>
          <w:p>
            <w:pPr>
              <w:pStyle w:val="Compact"/>
              <w:jc w:val="left"/>
            </w:pPr>
            <w:r>
              <w:t xml:space="preserve">实验／因果角色</w:t>
            </w:r>
          </w:p>
        </w:tc>
      </w:tr>
      <w:tr>
        <w:tc>
          <w:tcPr/>
          <w:p>
            <w:pPr>
              <w:pStyle w:val="Compact"/>
              <w:jc w:val="left"/>
            </w:pPr>
            <w:r>
              <w:t xml:space="preserve">TL-E01～E05</w:t>
            </w:r>
          </w:p>
        </w:tc>
        <w:tc>
          <w:tcPr/>
          <w:p>
            <w:pPr>
              <w:pStyle w:val="Compact"/>
              <w:jc w:val="left"/>
            </w:pPr>
            <w:r>
              <w:t xml:space="preserve">状态演化、接收状态分叉、有限振幅路径、响应坐标</w:t>
            </w:r>
          </w:p>
        </w:tc>
      </w:tr>
      <w:tr>
        <w:tc>
          <w:tcPr/>
          <w:p>
            <w:pPr>
              <w:pStyle w:val="Compact"/>
              <w:jc w:val="left"/>
            </w:pPr>
            <w:r>
              <w:t xml:space="preserve">TL-E06～E08</w:t>
            </w:r>
          </w:p>
        </w:tc>
        <w:tc>
          <w:tcPr/>
          <w:p>
            <w:pPr>
              <w:pStyle w:val="Compact"/>
              <w:jc w:val="left"/>
            </w:pPr>
            <w:r>
              <w:t xml:space="preserve">组件支撑、支撑重分配、能力读出</w:t>
            </w:r>
          </w:p>
        </w:tc>
      </w:tr>
      <w:tr>
        <w:tc>
          <w:tcPr/>
          <w:p>
            <w:pPr>
              <w:pStyle w:val="Compact"/>
              <w:jc w:val="left"/>
            </w:pPr>
            <w:r>
              <w:t xml:space="preserve">TL-P01</w:t>
            </w:r>
          </w:p>
        </w:tc>
        <w:tc>
          <w:tcPr/>
          <w:p>
            <w:pPr>
              <w:pStyle w:val="Compact"/>
              <w:jc w:val="left"/>
            </w:pPr>
            <w:r>
              <w:t xml:space="preserve">更新后目标边界预测</w:t>
            </w:r>
          </w:p>
        </w:tc>
      </w:tr>
      <w:tr>
        <w:tc>
          <w:tcPr/>
          <w:p>
            <w:pPr>
              <w:pStyle w:val="Compact"/>
              <w:jc w:val="left"/>
            </w:pPr>
            <w:r>
              <w:t xml:space="preserve">INF-E01</w:t>
            </w:r>
          </w:p>
        </w:tc>
        <w:tc>
          <w:tcPr/>
          <w:p>
            <w:pPr>
              <w:pStyle w:val="Compact"/>
              <w:jc w:val="left"/>
            </w:pPr>
            <w:r>
              <w:t xml:space="preserve">已学习版本的冻结推理</w:t>
            </w:r>
          </w:p>
        </w:tc>
      </w:tr>
      <w:tr>
        <w:tc>
          <w:tcPr/>
          <w:p>
            <w:pPr>
              <w:pStyle w:val="Compact"/>
              <w:jc w:val="left"/>
            </w:pPr>
            <w:r>
              <w:t xml:space="preserve">TL-G01～G03</w:t>
            </w:r>
          </w:p>
        </w:tc>
        <w:tc>
          <w:tcPr/>
          <w:p>
            <w:pPr>
              <w:pStyle w:val="Compact"/>
              <w:jc w:val="left"/>
            </w:pPr>
            <w:r>
              <w:t xml:space="preserve">ResNet、扩散模型及 MoE：训练—学习</w:t>
            </w:r>
          </w:p>
        </w:tc>
      </w:tr>
      <w:tr>
        <w:tc>
          <w:tcPr/>
          <w:p>
            <w:pPr>
              <w:pStyle w:val="Compact"/>
              <w:jc w:val="left"/>
            </w:pPr>
            <w:r>
              <w:t xml:space="preserve">INF-G01～G02</w:t>
            </w:r>
          </w:p>
        </w:tc>
        <w:tc>
          <w:tcPr/>
          <w:p>
            <w:pPr>
              <w:pStyle w:val="Compact"/>
              <w:jc w:val="left"/>
            </w:pPr>
            <w:r>
              <w:t xml:space="preserve">ResNet、扩散模型及 MoE：冻结推理</w:t>
            </w:r>
          </w:p>
        </w:tc>
      </w:tr>
      <w:tr>
        <w:tc>
          <w:tcPr/>
          <w:p>
            <w:pPr>
              <w:pStyle w:val="Compact"/>
              <w:jc w:val="left"/>
            </w:pPr>
            <w:r>
              <w:t xml:space="preserve">GNN／SNN</w:t>
            </w:r>
          </w:p>
        </w:tc>
        <w:tc>
          <w:tcPr/>
          <w:p>
            <w:pPr>
              <w:pStyle w:val="Compact"/>
              <w:jc w:val="left"/>
            </w:pPr>
            <w:r>
              <w:t xml:space="preserve">额外的系统内 TLI 检验</w:t>
            </w:r>
          </w:p>
        </w:tc>
      </w:tr>
      <w:tr>
        <w:tc>
          <w:tcPr/>
          <w:p>
            <w:pPr>
              <w:pStyle w:val="Compact"/>
              <w:jc w:val="left"/>
            </w:pPr>
            <w:r>
              <w:t xml:space="preserve">RL-E05／E06</w:t>
            </w:r>
          </w:p>
        </w:tc>
        <w:tc>
          <w:tcPr/>
          <w:p>
            <w:pPr>
              <w:pStyle w:val="Compact"/>
              <w:jc w:val="left"/>
            </w:pPr>
            <w:r>
              <w:t xml:space="preserve">选择性反馈、干扰、剂量与恢复</w:t>
            </w:r>
          </w:p>
        </w:tc>
      </w:tr>
    </w:tbl>
    <w:p>
      <w:pPr>
        <w:pStyle w:val="BodyText"/>
      </w:pPr>
      <w:r>
        <w:t xml:space="preserve">这些记录保留了具体目标、更新和参数版本的身份、预先声明的检验，以及全部观察结果；独立检查程序或原生重新执行被用于核验所报告的结果。</w:t>
      </w:r>
    </w:p>
    <w:p>
      <w:pPr>
        <w:pStyle w:val="CaptionedFigure"/>
      </w:pPr>
      <w:r>
        <w:drawing>
          <wp:inline>
            <wp:extent cx="5537835" cy="2966256"/>
            <wp:effectExtent b="0" l="0" r="0" t="0"/>
            <wp:docPr descr="会议版图 2：六系统 TLI 实验链（原图保留）" title="" id="31" name="Picture"/>
            <a:graphic>
              <a:graphicData uri="http://schemas.openxmlformats.org/drawingml/2006/picture">
                <pic:pic>
                  <pic:nvPicPr>
                    <pic:cNvPr descr="figures/fig2.png" id="32" name="Picture"/>
                    <pic:cNvPicPr>
                      <a:picLocks noChangeArrowheads="1" noChangeAspect="1"/>
                    </pic:cNvPicPr>
                  </pic:nvPicPr>
                  <pic:blipFill>
                    <a:blip r:embed="rId30"/>
                    <a:stretch>
                      <a:fillRect/>
                    </a:stretch>
                  </pic:blipFill>
                  <pic:spPr bwMode="auto">
                    <a:xfrm>
                      <a:off x="0" y="0"/>
                      <a:ext cx="5537835" cy="2966256"/>
                    </a:xfrm>
                    <a:prstGeom prst="rect">
                      <a:avLst/>
                    </a:prstGeom>
                    <a:noFill/>
                    <a:ln w="9525">
                      <a:noFill/>
                      <a:headEnd/>
                      <a:tailEnd/>
                    </a:ln>
                  </pic:spPr>
                </pic:pic>
              </a:graphicData>
            </a:graphic>
          </wp:inline>
        </w:drawing>
      </w:r>
    </w:p>
    <w:p>
      <w:pPr>
        <w:pStyle w:val="ImageCaption"/>
      </w:pPr>
      <w:r>
        <w:t xml:space="preserve">会议版图 2：六系统 TLI 实验链（原图保留）</w:t>
      </w:r>
    </w:p>
    <w:p>
      <w:pPr>
        <w:pStyle w:val="BodyText"/>
      </w:pPr>
      <w:r>
        <w:rPr>
          <w:b/>
          <w:bCs/>
        </w:rPr>
        <w:t xml:space="preserve">图 2｜系统内部的训练—学习—推理实验链。</w:t>
      </w:r>
      <w:r>
        <w:t xml:space="preserve"> </w:t>
      </w:r>
      <w:r>
        <w:t xml:space="preserve">一个 GNN 随机种子满足九项注册门槛中的八项，其非线性响应出现率低于预设阈值；SNN 在四个种子中均通过十二项注册门槛。</w:t>
      </w:r>
    </w:p>
    <w:bookmarkEnd w:id="33"/>
    <w:bookmarkEnd w:id="34"/>
    <w:bookmarkStart w:id="39" w:name="结果跨系统-tli-与强化"/>
    <w:p>
      <w:pPr>
        <w:pStyle w:val="Heading1"/>
      </w:pPr>
      <w:r>
        <w:t xml:space="preserve">3. 结果：跨系统 TLI 与强化</w:t>
      </w:r>
    </w:p>
    <w:bookmarkStart w:id="35" w:name="transformerresnet扩散模型与-moe-的原生实验链"/>
    <w:p>
      <w:pPr>
        <w:pStyle w:val="Heading2"/>
      </w:pPr>
      <w:r>
        <w:t xml:space="preserve">3.1 Transformer、ResNet、扩散模型与 MoE 的原生实验链</w:t>
      </w:r>
    </w:p>
    <w:p>
      <w:pPr>
        <w:pStyle w:val="FirstParagraph"/>
      </w:pPr>
      <w:r>
        <w:t xml:space="preserve">最初的 nanoGPT 实验使用实际更新干预、分布式支撑测量、身份对齐的目标状态转移，以及基于精确历史训练版本的冻结推理。冻结推理部分检查了 13 条经过验证的训练历史和 52 个选定检查点。更新后目标边界预测器在 5,088 个确认集目标中正确裁决了 4,652 个（准确率为 91.43%，四类状态转移宏平均召回率为 91.49%），并保留了预测错误记录。</w:t>
      </w:r>
    </w:p>
    <w:p>
      <w:pPr>
        <w:pStyle w:val="BodyText"/>
      </w:pPr>
      <w:r>
        <w:t xml:space="preserve">在 ResNet 中，全部 42/42 次已注册的参数接收状态交换均超过冻结的响应差异阈值；1,536 条目标—更新响应路径中有 32.23% 符合非线性判据，91.41% 的支撑记录超过指定的重分配阈值。随后，这些训练检查点进入冻结推理协议；三个随机种子全部通过，包括已学习版本回滚和精确恢复。</w:t>
      </w:r>
    </w:p>
    <w:p>
      <w:pPr>
        <w:pStyle w:val="BodyText"/>
      </w:pPr>
      <w:r>
        <w:t xml:space="preserve">在扩散 U-Net 中，全部 18/18 次参数状态交换超过阈值。在 504 条记录中，19.25% 出现非线性有限振幅响应，97.02% 的支撑重分配超过阈值。对应的冻结推理协议在三个随机种子上全部通过，包括对</w:t>
      </w:r>
      <w:r>
        <w:t xml:space="preserve"> </w:t>
      </w:r>
      <m:oMath>
        <m:r>
          <m:t>ϵ</m:t>
        </m:r>
      </m:oMath>
      <w:r>
        <w:t xml:space="preserve"> </w:t>
      </w:r>
      <w:r>
        <w:t xml:space="preserve">预测器的干预效应和完整的 100 步确定性采样。这是一个以残差误差为能力边界的生成任务，而不是另一个按类别标签进行判断的分类器。</w:t>
      </w:r>
    </w:p>
    <w:p>
      <w:pPr>
        <w:pStyle w:val="BodyText"/>
      </w:pPr>
      <w:r>
        <w:t xml:space="preserve">Vision-MoE 在具有路由机制的专家组织中重复了这一相互连接的实验。全部 36/36 次参数状态交换和 18/18 次 Adam 记忆交换均超过其预注册阈值；1,344 条目标—更新记录中，35.71% 出现非线性路径，80.43% 的专家支撑重分配超过阈值。随后，在相同的最终已学习版本上检验确定性 top-2 路由、查询特定的专家调用、非加性联盟、训练完成的专家／路由器回滚与恢复。三个种子的联合冻结裁决为</w:t>
      </w:r>
      <w:r>
        <w:t xml:space="preserve"> </w:t>
      </w:r>
      <w:r>
        <w:rPr>
          <w:rStyle w:val="VerbatimChar"/>
        </w:rPr>
        <w:t xml:space="preserve">MOE_UNIFIED_DYNAMICS_SUPPORTED</w:t>
      </w:r>
      <w:r>
        <w:t xml:space="preserve">。</w:t>
      </w:r>
    </w:p>
    <w:p>
      <w:pPr>
        <w:pStyle w:val="BodyText"/>
      </w:pPr>
      <w:r>
        <w:t xml:space="preserve">因此，这四种系统在实际动作、有限振幅响应、支撑、边界以及冻结推理等角色之间提供了</w:t>
      </w:r>
      <w:r>
        <w:rPr>
          <w:b/>
          <w:bCs/>
        </w:rPr>
        <w:t xml:space="preserve">重复出现的系统内证据</w:t>
      </w:r>
      <w:r>
        <w:t xml:space="preserve">。特别是，推理证据通过精确的参数版本身份与训练过程相连接，而不仅是另一个模型表现出相似行为。</w:t>
      </w:r>
    </w:p>
    <w:bookmarkEnd w:id="35"/>
    <w:bookmarkStart w:id="36" w:name="gnn-与硬脉冲-snn-压力测试"/>
    <w:p>
      <w:pPr>
        <w:pStyle w:val="Heading2"/>
      </w:pPr>
      <w:r>
        <w:t xml:space="preserve">3.2 GNN 与硬脉冲 SNN 压力测试</w:t>
      </w:r>
    </w:p>
    <w:p>
      <w:pPr>
        <w:pStyle w:val="FirstParagraph"/>
      </w:pPr>
      <w:r>
        <w:t xml:space="preserve">GNN 实验执行相同的实验序列：实际更新／接收状态检验、有限振幅路径、更新前后组件联盟支撑、目标边界，以及精确已学习版本的冻结推理。全部三个正式种子都形成了预期能力，并通过八项冻结判据。其中两个种子通过第九项——非线性响应出现率</w:t>
      </w:r>
      <w:r>
        <w:t xml:space="preserve"> </w:t>
      </w:r>
      <m:oMath>
        <m:r>
          <m:rPr>
            <m:sty m:val="p"/>
          </m:rPr>
          <m:t>≥</m:t>
        </m:r>
        <m:r>
          <m:t>10</m:t>
        </m:r>
        <m:r>
          <m:rPr>
            <m:sty m:val="p"/>
          </m:rPr>
          <m:t>%</m:t>
        </m:r>
      </m:oMath>
      <w:r>
        <w:t xml:space="preserve"> </w:t>
      </w:r>
      <w:r>
        <w:t xml:space="preserve">的判据；另一个种子仅有 4/256 条路径符合条件（1.56%），因此该项判定</w:t>
      </w:r>
      <w:r>
        <w:rPr>
          <w:b/>
          <w:bCs/>
        </w:rPr>
        <w:t xml:space="preserve">失败</w:t>
      </w:r>
      <w:r>
        <w:t xml:space="preserve">。三个种子的状态—响应、支撑、能力及冻结推理测量均已完成。</w:t>
      </w:r>
    </w:p>
    <w:p>
      <w:pPr>
        <w:pStyle w:val="BodyText"/>
      </w:pPr>
      <w:r>
        <w:t xml:space="preserve">硬脉冲 SNN 使用四个循环脉冲组件和六个时间步。在四个正式种子中，全部十二项冻结判据均通过，包括原生 Adagrad 记忆干预、有限振幅响应路径、组件支撑重组、查询条件化的推理以及精确版本回滚。该模型不连续的硬阈值前向过程尤其具有研究意义：即使基于局部导数的预测器难以描述某些阈值跨越，这些相互连接的功能角色仍然可以被观测到。</w:t>
      </w:r>
    </w:p>
    <w:bookmarkEnd w:id="36"/>
    <w:bookmarkStart w:id="37" w:name="强化反馈驱动的功能支撑与能力变化"/>
    <w:p>
      <w:pPr>
        <w:pStyle w:val="Heading2"/>
      </w:pPr>
      <w:r>
        <w:t xml:space="preserve">3.3 强化：反馈驱动的功能支撑与能力变化</w:t>
      </w:r>
    </w:p>
    <w:p>
      <w:pPr>
        <w:pStyle w:val="FirstParagraph"/>
      </w:pPr>
      <w:r>
        <w:t xml:space="preserve">RL-E05/E06 使用一个共享四能力 GRU 策略，研究 TLIR 中与其他三者同等重要的第四个角色。所有四项能力都在匹配反馈分支开始</w:t>
      </w:r>
      <w:r>
        <w:rPr>
          <w:b/>
          <w:bCs/>
        </w:rPr>
        <w:t xml:space="preserve">之前</w:t>
      </w:r>
      <w:r>
        <w:t xml:space="preserve">达到掌握水平；所有正奖励均由精确的两动作任务规则产生。因此，干预改变的是</w:t>
      </w:r>
      <w:r>
        <w:rPr>
          <w:b/>
          <w:bCs/>
        </w:rPr>
        <w:t xml:space="preserve">正确反馈的分配方式</w:t>
      </w:r>
      <w:r>
        <w:t xml:space="preserve">，而不是奖励是否有效。RL-E05 确立了选择性反馈导致的支撑集中、跨能力干扰及版本敏感的能力权衡，尽管其中更严格的已注册“大幅度事件发生时序”判据没有达到。</w:t>
      </w:r>
    </w:p>
    <w:p>
      <w:pPr>
        <w:pStyle w:val="BodyText"/>
      </w:pPr>
      <w:r>
        <w:t xml:space="preserve">在 RL-E06 中，12 个正式种子都表现出严格的剂量有序变化：从均衡、轻度集中、高度集中到独占反馈，被强化能力的平均相对支撑份额分别为</w:t>
      </w:r>
      <w:r>
        <w:t xml:space="preserve"> </w:t>
      </w:r>
      <w:r>
        <w:rPr>
          <w:b/>
          <w:bCs/>
        </w:rPr>
        <w:t xml:space="preserve">25.54%、26.47%、27.50% 和 35.20%</w:t>
      </w:r>
      <w:r>
        <w:t xml:space="preserve">；与此同时，其他能力的平均间隔分别下降为</w:t>
      </w:r>
      <w:r>
        <w:t xml:space="preserve"> </w:t>
      </w:r>
      <w:r>
        <w:rPr>
          <w:b/>
          <w:bCs/>
        </w:rPr>
        <w:t xml:space="preserve">9.474、9.130、8.493 和 3.962</w:t>
      </w:r>
      <w:r>
        <w:t xml:space="preserve">。在轻度和高度集中条件下，其他能力仍保持 100% 的准确率，尽管其间隔已经受到侵蚀。与均衡反馈相比，独占正确反馈使支撑份额增加</w:t>
      </w:r>
      <w:r>
        <w:t xml:space="preserve"> </w:t>
      </w:r>
      <w:r>
        <w:rPr>
          <w:b/>
          <w:bCs/>
        </w:rPr>
        <w:t xml:space="preserve">9.67 个百分点</w:t>
      </w:r>
      <w:r>
        <w:t xml:space="preserve">，使其他能力的准确率降低</w:t>
      </w:r>
      <w:r>
        <w:t xml:space="preserve"> </w:t>
      </w:r>
      <w:r>
        <w:rPr>
          <w:b/>
          <w:bCs/>
        </w:rPr>
        <w:t xml:space="preserve">39.06 个百分点</w:t>
      </w:r>
      <w:r>
        <w:t xml:space="preserve">。从</w:t>
      </w:r>
      <w:r>
        <w:rPr>
          <w:b/>
          <w:bCs/>
        </w:rPr>
        <w:t xml:space="preserve">完全相同</w:t>
      </w:r>
      <w:r>
        <w:t xml:space="preserve">的独占反馈第 800 次更新状态出发，重新均衡反馈将其他能力的准确率从</w:t>
      </w:r>
      <w:r>
        <w:t xml:space="preserve"> </w:t>
      </w:r>
      <w:r>
        <w:rPr>
          <w:b/>
          <w:bCs/>
        </w:rPr>
        <w:t xml:space="preserve">70.31% 恢复至 99.48%</w:t>
      </w:r>
      <w:r>
        <w:t xml:space="preserve">，同时被强化能力仍保持 100%。因此，实验将反馈分配与持久支撑重组、连续边界侵蚀、可观察的能力丧失以及可逆恢复联系起来。</w:t>
      </w:r>
    </w:p>
    <w:bookmarkEnd w:id="37"/>
    <w:bookmarkStart w:id="38" w:name="边界预测同时检验算法的优势和局限"/>
    <w:p>
      <w:pPr>
        <w:pStyle w:val="Heading2"/>
      </w:pPr>
      <w:r>
        <w:t xml:space="preserve">3.4 边界预测同时检验算法的优势和局限</w:t>
      </w:r>
    </w:p>
    <w:p>
      <w:pPr>
        <w:pStyle w:val="FirstParagraph"/>
      </w:pPr>
      <w:r>
        <w:t xml:space="preserve">直接终点预测用于测量数学近似的准确程度，并与因果干预实验相对照。表 4 比较已记录的实验。用于 nanoGPT 的主要</w:t>
      </w:r>
      <w:r>
        <w:t xml:space="preserve"> </w:t>
      </w:r>
      <w:r>
        <w:rPr>
          <w:rStyle w:val="VerbatimChar"/>
        </w:rPr>
        <w:t xml:space="preserve">quadratic_complete</w:t>
      </w:r>
      <w:r>
        <w:t xml:space="preserve"> </w:t>
      </w:r>
      <w:r>
        <w:t xml:space="preserve">方法，根据随后各个系统的输出和激活结构进行了适配。</w:t>
      </w:r>
    </w:p>
    <w:p>
      <w:pPr>
        <w:pStyle w:val="BodyText"/>
      </w:pPr>
      <w:r>
        <w:rPr>
          <w:b/>
          <w:bCs/>
        </w:rPr>
        <w:t xml:space="preserve">表 4｜更新后目标边界分类结果。</w:t>
      </w:r>
      <w:r>
        <w:t xml:space="preserve"> </w:t>
      </w:r>
      <w:r>
        <w:t xml:space="preserve">四类宏平均召回率是对四种实际状态转移类别分别计算召回率后取平均；仅有较高准确率还不够。不同系统的预测器实现细节与评价数据集存在差异。</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系统</w:t>
            </w:r>
          </w:p>
        </w:tc>
        <w:tc>
          <w:tcPr/>
          <w:p>
            <w:pPr>
              <w:pStyle w:val="Compact"/>
              <w:jc w:val="right"/>
            </w:pPr>
            <w:r>
              <w:t xml:space="preserve">准确率（%）</w:t>
            </w:r>
          </w:p>
        </w:tc>
        <w:tc>
          <w:tcPr/>
          <w:p>
            <w:pPr>
              <w:pStyle w:val="Compact"/>
              <w:jc w:val="right"/>
            </w:pPr>
            <w:r>
              <w:t xml:space="preserve">四类宏召回率（%）</w:t>
            </w:r>
          </w:p>
        </w:tc>
      </w:tr>
      <w:tr>
        <w:tc>
          <w:tcPr/>
          <w:p>
            <w:pPr>
              <w:pStyle w:val="Compact"/>
              <w:jc w:val="left"/>
            </w:pPr>
            <w:r>
              <w:t xml:space="preserve">nanoGPT</w:t>
            </w:r>
          </w:p>
        </w:tc>
        <w:tc>
          <w:tcPr/>
          <w:p>
            <w:pPr>
              <w:pStyle w:val="Compact"/>
              <w:jc w:val="right"/>
            </w:pPr>
            <w:r>
              <w:t xml:space="preserve">91.43</w:t>
            </w:r>
          </w:p>
        </w:tc>
        <w:tc>
          <w:tcPr/>
          <w:p>
            <w:pPr>
              <w:pStyle w:val="Compact"/>
              <w:jc w:val="right"/>
            </w:pPr>
            <w:r>
              <w:t xml:space="preserve">91.49</w:t>
            </w:r>
          </w:p>
        </w:tc>
      </w:tr>
      <w:tr>
        <w:tc>
          <w:tcPr/>
          <w:p>
            <w:pPr>
              <w:pStyle w:val="Compact"/>
              <w:jc w:val="left"/>
            </w:pPr>
            <w:r>
              <w:t xml:space="preserve">ResNet-18</w:t>
            </w:r>
          </w:p>
        </w:tc>
        <w:tc>
          <w:tcPr/>
          <w:p>
            <w:pPr>
              <w:pStyle w:val="Compact"/>
              <w:jc w:val="right"/>
            </w:pPr>
            <w:r>
              <w:t xml:space="preserve">99.28</w:t>
            </w:r>
          </w:p>
        </w:tc>
        <w:tc>
          <w:tcPr/>
          <w:p>
            <w:pPr>
              <w:pStyle w:val="Compact"/>
              <w:jc w:val="right"/>
            </w:pPr>
            <w:r>
              <w:t xml:space="preserve">97.99</w:t>
            </w:r>
          </w:p>
        </w:tc>
      </w:tr>
      <w:tr>
        <w:tc>
          <w:tcPr/>
          <w:p>
            <w:pPr>
              <w:pStyle w:val="Compact"/>
              <w:jc w:val="left"/>
            </w:pPr>
            <w:r>
              <w:t xml:space="preserve">Diffusion U-Net</w:t>
            </w:r>
          </w:p>
        </w:tc>
        <w:tc>
          <w:tcPr/>
          <w:p>
            <w:pPr>
              <w:pStyle w:val="Compact"/>
              <w:jc w:val="right"/>
            </w:pPr>
            <w:r>
              <w:t xml:space="preserve">99.60</w:t>
            </w:r>
          </w:p>
        </w:tc>
        <w:tc>
          <w:tcPr/>
          <w:p>
            <w:pPr>
              <w:pStyle w:val="Compact"/>
              <w:jc w:val="right"/>
            </w:pPr>
            <w:r>
              <w:t xml:space="preserve">97.98</w:t>
            </w:r>
          </w:p>
        </w:tc>
      </w:tr>
      <w:tr>
        <w:tc>
          <w:tcPr/>
          <w:p>
            <w:pPr>
              <w:pStyle w:val="Compact"/>
              <w:jc w:val="left"/>
            </w:pPr>
            <w:r>
              <w:t xml:space="preserve">Vision-MoE</w:t>
            </w:r>
          </w:p>
        </w:tc>
        <w:tc>
          <w:tcPr/>
          <w:p>
            <w:pPr>
              <w:pStyle w:val="Compact"/>
              <w:jc w:val="right"/>
            </w:pPr>
            <w:r>
              <w:t xml:space="preserve">99.63</w:t>
            </w:r>
          </w:p>
        </w:tc>
        <w:tc>
          <w:tcPr/>
          <w:p>
            <w:pPr>
              <w:pStyle w:val="Compact"/>
              <w:jc w:val="right"/>
            </w:pPr>
            <w:r>
              <w:t xml:space="preserve">96.95</w:t>
            </w:r>
          </w:p>
        </w:tc>
      </w:tr>
      <w:tr>
        <w:tc>
          <w:tcPr/>
          <w:p>
            <w:pPr>
              <w:pStyle w:val="Compact"/>
              <w:jc w:val="left"/>
            </w:pPr>
            <w:r>
              <w:t xml:space="preserve">GNN¹</w:t>
            </w:r>
          </w:p>
        </w:tc>
        <w:tc>
          <w:tcPr/>
          <w:p>
            <w:pPr>
              <w:pStyle w:val="Compact"/>
              <w:jc w:val="right"/>
            </w:pPr>
            <w:r>
              <w:t xml:space="preserve">98.54</w:t>
            </w:r>
          </w:p>
        </w:tc>
        <w:tc>
          <w:tcPr/>
          <w:p>
            <w:pPr>
              <w:pStyle w:val="Compact"/>
              <w:jc w:val="right"/>
            </w:pPr>
            <w:r>
              <w:t xml:space="preserve">98.62</w:t>
            </w:r>
          </w:p>
        </w:tc>
      </w:tr>
      <w:tr>
        <w:tc>
          <w:tcPr/>
          <w:p>
            <w:pPr>
              <w:pStyle w:val="Compact"/>
              <w:jc w:val="left"/>
            </w:pPr>
            <w:r>
              <w:t xml:space="preserve">硬脉冲 SNN¹</w:t>
            </w:r>
          </w:p>
        </w:tc>
        <w:tc>
          <w:tcPr/>
          <w:p>
            <w:pPr>
              <w:pStyle w:val="Compact"/>
              <w:jc w:val="right"/>
            </w:pPr>
            <w:r>
              <w:t xml:space="preserve">95.31</w:t>
            </w:r>
          </w:p>
        </w:tc>
        <w:tc>
          <w:tcPr/>
          <w:p>
            <w:pPr>
              <w:pStyle w:val="Compact"/>
              <w:jc w:val="right"/>
            </w:pPr>
            <w:r>
              <w:t xml:space="preserve">70.74</w:t>
            </w:r>
          </w:p>
        </w:tc>
      </w:tr>
    </w:tbl>
    <w:p>
      <w:pPr>
        <w:pStyle w:val="BodyText"/>
      </w:pPr>
      <w:r>
        <w:t xml:space="preserve">¹ 独立预测测试使用已注册的 GNN／SNN 训练历史。</w:t>
      </w:r>
    </w:p>
    <w:p>
      <w:pPr>
        <w:pStyle w:val="BodyText"/>
      </w:pPr>
      <w:r>
        <w:t xml:space="preserve">对 MoE 的直接二阶终点预测器来说，两类发生能力变化的样本各只有九个，因此需要结合这一较小分母来理解其较高召回率。在 SNN 上，假定目标边界不变化的基线已经达到 93.63% 的准确率，而局部公式的总体准确率为 95.31%，但四类宏平均召回率只有 70.74%。其硬阈值使真实局部隐藏状态导数无法反映某些有限幅度的阈值跨越。因此，较低的宏召回率定位了硬激活阈值处的一个预测困难，同时实验中的功能关系仍然可以观测到。</w:t>
      </w:r>
    </w:p>
    <w:bookmarkEnd w:id="38"/>
    <w:bookmarkEnd w:id="39"/>
    <w:bookmarkStart w:id="40" w:name="讨论"/>
    <w:p>
      <w:pPr>
        <w:pStyle w:val="Heading1"/>
      </w:pPr>
      <w:r>
        <w:t xml:space="preserve">4. 讨论</w:t>
      </w:r>
    </w:p>
    <w:p>
      <w:pPr>
        <w:pStyle w:val="FirstParagraph"/>
      </w:pPr>
      <w:r>
        <w:t xml:space="preserve">TLIR 是完整的理论解释体系，其中训练、学习、推理和强化是</w:t>
      </w:r>
      <w:r>
        <w:rPr>
          <w:b/>
          <w:bCs/>
        </w:rPr>
        <w:t xml:space="preserve">四个平级角色</w:t>
      </w:r>
      <w:r>
        <w:t xml:space="preserve">。TLI 关系在六种结构不同的系统中反复出现；精确训练历史将实际更新、状态依赖的响应、持久功能支撑重组、能力读出和已学习版本的冻结推理联系起来。第七种系统是一个共享 GRU 策略，用以检验强化如何改变</w:t>
      </w:r>
      <w:r>
        <w:rPr>
          <w:b/>
          <w:bCs/>
        </w:rPr>
        <w:t xml:space="preserve">已经形成</w:t>
      </w:r>
      <w:r>
        <w:t xml:space="preserve">的能力在后续训练中的发展。这一组合同时检验了功能支撑的形成与调用，以及随后将其重新组织的反馈过程。</w:t>
      </w:r>
    </w:p>
    <w:p>
      <w:pPr>
        <w:pStyle w:val="BodyText"/>
      </w:pPr>
      <w:r>
        <w:t xml:space="preserve">GRU 的结果揭示了强化为何能够通过</w:t>
      </w:r>
      <w:r>
        <w:rPr>
          <w:b/>
          <w:bCs/>
        </w:rPr>
        <w:t xml:space="preserve">同一种功能机制</w:t>
      </w:r>
      <w:r>
        <w:t xml:space="preserve">既产生有利作用也产生不利作用：反复出现的正确反馈优先把功能支撑重新分配给获得奖励的能力，而没有得到强化的目标失去连续读出间隔，并可能随后跨过边界进入失败状态。从相同的已学习状态出发重新均衡反馈，能够在很大程度上逆转这一过程。因此，奖励的正确性本身并不能决定先前获得的全部能力能否保持。此处的证据涉及可控的功能支撑重组，而不是某种守恒的支撑总量。</w:t>
      </w:r>
    </w:p>
    <w:p>
      <w:pPr>
        <w:pStyle w:val="BodyText"/>
      </w:pPr>
      <w:r>
        <w:t xml:space="preserve">定量响应模式仍随系统而异：非线性响应出现率不同，一个 GNN 种子没有达到其注册的频率门槛，硬脉冲阈值则对基于局部导数的预测提出了挑战。TLI 因果检验与 GRU 反馈干预检验 TLIR 动力学中相互补充的部分；不能将各自的实证范围误解为每一种系统都必须重复每一项干预。组件级测量也与机制的因果抽象分析相联系［Geiger 等，2025］。</w:t>
      </w:r>
    </w:p>
    <w:bookmarkEnd w:id="40"/>
    <w:bookmarkStart w:id="41" w:name="对正面与负面研究结果的统一解释"/>
    <w:p>
      <w:pPr>
        <w:pStyle w:val="Heading1"/>
      </w:pPr>
      <w:r>
        <w:t xml:space="preserve">5. 对正面与负面研究结果的统一解释</w:t>
      </w:r>
    </w:p>
    <w:p>
      <w:pPr>
        <w:pStyle w:val="FirstParagraph"/>
      </w:pPr>
      <w:r>
        <w:rPr>
          <w:b/>
          <w:bCs/>
        </w:rPr>
        <w:t xml:space="preserve">问题与发现顺序。</w:t>
      </w:r>
      <w:r>
        <w:t xml:space="preserve"> </w:t>
      </w:r>
      <w:r>
        <w:t xml:space="preserve">另一项针对历史研究中</w:t>
      </w:r>
      <w:r>
        <w:t xml:space="preserve"> </w:t>
      </w:r>
      <w:r>
        <w:rPr>
          <w:b/>
          <w:bCs/>
        </w:rPr>
        <w:t xml:space="preserve">21 组正面／负面结果对</w:t>
      </w:r>
      <w:r>
        <w:t xml:space="preserve">的比较，探讨共同的</w:t>
      </w:r>
      <w:r>
        <w:rPr>
          <w:b/>
          <w:bCs/>
        </w:rPr>
        <w:t xml:space="preserve">接收状态—动作—响应—支撑—边界—反馈关系</w:t>
      </w:r>
      <w:r>
        <w:t xml:space="preserve">，是否能同时解释局部理论取得成功的条件，以及限制这些理论适用范围的研究发现。下面的例子展示这种共同解释。</w:t>
      </w:r>
    </w:p>
    <w:p>
      <w:pPr>
        <w:pStyle w:val="BodyText"/>
      </w:pPr>
      <w:r>
        <w:rPr>
          <w:b/>
          <w:bCs/>
        </w:rPr>
        <w:t xml:space="preserve">核动力学与特征学习。</w:t>
      </w:r>
      <w:r>
        <w:t xml:space="preserve"> </w:t>
      </w:r>
      <w:r>
        <w:t xml:space="preserve">在相应的无限宽度惰性训练状态下，NTK 动力学提供严格的局部训练描述［Jacot 等，2018］；而特征学习参数化可以产生不同的极限行为［Yang 和 Hu，2021］。TLI 将两者定位于接收状态与参数化方式不同的动作—响应状态中：冻结核投影有效，并不意味着所有有限振幅训练轨迹都保持其特征不变。两类结果处于不同的训练状态。</w:t>
      </w:r>
    </w:p>
    <w:p>
      <w:pPr>
        <w:pStyle w:val="BodyText"/>
      </w:pPr>
      <w:r>
        <w:rPr>
          <w:b/>
          <w:bCs/>
        </w:rPr>
        <w:t xml:space="preserve">尖锐极小值与有效的锐度感知训练。</w:t>
      </w:r>
      <w:r>
        <w:t xml:space="preserve"> </w:t>
      </w:r>
      <w:r>
        <w:t xml:space="preserve">保持函数不变的重新参数化可以改变原始参数锐度，却不改变泛化表现［Dinh 等，2017］。然而，SAM 可以通过优化邻域鲁棒的损失，在特定任务中改善表现［Foret 等，2021］。这组结果的共同解释在于：原始参数几何并非完整的已学习功能状态，而锐度感知干预仍然可以有益地改变</w:t>
      </w:r>
      <w:r>
        <w:rPr>
          <w:b/>
          <w:bCs/>
        </w:rPr>
        <w:t xml:space="preserve">实际训练动作</w:t>
      </w:r>
      <w:r>
        <w:t xml:space="preserve">。因此，一个不具有参数化不变性的解释标量，可以与一种有效的局部控制方法同时存在。</w:t>
      </w:r>
    </w:p>
    <w:p>
      <w:pPr>
        <w:pStyle w:val="BodyText"/>
      </w:pPr>
      <w:r>
        <w:rPr>
          <w:b/>
          <w:bCs/>
        </w:rPr>
        <w:t xml:space="preserve">压缩是一种有用机制，而非普遍必要条件。</w:t>
      </w:r>
      <w:r>
        <w:t xml:space="preserve"> </w:t>
      </w:r>
      <w:r>
        <w:t xml:space="preserve">在部分架构和测量条件下，关于普遍压缩阶段的主张不能成立［Saxe 等，2018］；与此同时，适当控制信息瓶颈可以得到有效的泛化保证［Kawaguchi 等，2023］。TLI 中的持久功能重组不要求</w:t>
      </w:r>
      <w:r>
        <w:t xml:space="preserve"> </w:t>
      </w:r>
      <m:oMath>
        <m:r>
          <m:t>I</m:t>
        </m:r>
        <m:d>
          <m:dPr>
            <m:begChr m:val="("/>
            <m:endChr m:val=")"/>
            <m:sepChr m:val=""/>
            <m:grow/>
          </m:dPr>
          <m:e>
            <m:r>
              <m:t>X</m:t>
            </m:r>
            <m:r>
              <m:rPr>
                <m:sty m:val="p"/>
              </m:rPr>
              <m:t>;</m:t>
            </m:r>
            <m:r>
              <m:t>T</m:t>
            </m:r>
          </m:e>
        </m:d>
      </m:oMath>
      <w:r>
        <w:t xml:space="preserve"> </w:t>
      </w:r>
      <w:r>
        <w:t xml:space="preserve">单调下降，但压缩可以是在接收状态、噪声和优化目标等具体条件下出现的一种结果。由此预测：</w:t>
      </w:r>
      <w:r>
        <w:rPr>
          <w:b/>
          <w:bCs/>
        </w:rPr>
        <w:t xml:space="preserve">压缩的有效性有其条件范围，而它并非普遍必要。</w:t>
      </w:r>
    </w:p>
    <w:p>
      <w:pPr>
        <w:pStyle w:val="BodyText"/>
      </w:pPr>
      <w:r>
        <w:rPr>
          <w:b/>
          <w:bCs/>
        </w:rPr>
        <w:t xml:space="preserve">延迟涌现与掌握能力之后的持续学习。</w:t>
      </w:r>
      <w:r>
        <w:t xml:space="preserve"> </w:t>
      </w:r>
      <w:r>
        <w:t xml:space="preserve">在 Grokking 中，即使训练表现已经饱和，测试能力仍可能突然出现，而内部计算结构在这一过程中经历可以识别的阶段性演化［Nanda 等，2023］。神经坍缩研究同样记录到训练误差消失之后特征几何仍然持续变化［Papyan 等，2020］。TLI 将持久的功能支撑形成与离散的目标读出边界区分开来。因此，内部支撑持续形成与外部可观察状态突然转变，是同一测量区分下可以共存的结果。</w:t>
      </w:r>
    </w:p>
    <w:p>
      <w:pPr>
        <w:pStyle w:val="BodyText"/>
      </w:pPr>
      <w:r>
        <w:rPr>
          <w:b/>
          <w:bCs/>
        </w:rPr>
        <w:t xml:space="preserve">遗忘、能力保持与恢复。</w:t>
      </w:r>
      <w:r>
        <w:t xml:space="preserve"> </w:t>
      </w:r>
      <w:r>
        <w:t xml:space="preserve">持续学习可能破坏旧能力，而 EWC 等方法能够保护某些重要性较高的参数方向［Kirkpatrick 等，2017］。在 TLI 中，旧目标的有符号响应取决于新动作与旧目标功能敏感支撑之间的重叠关系，以及目标边界尚余的安全余量。GRU 反馈分叉提供了匹配干预的例子：集中的</w:t>
      </w:r>
      <w:r>
        <w:rPr>
          <w:b/>
          <w:bCs/>
        </w:rPr>
        <w:t xml:space="preserve">正确</w:t>
      </w:r>
      <w:r>
        <w:t xml:space="preserve">反馈侵蚀了其他已掌握的能力，而重新均衡的反馈则在很大程度上使其恢复。</w:t>
      </w:r>
    </w:p>
    <w:p>
      <w:pPr>
        <w:pStyle w:val="BodyText"/>
      </w:pPr>
      <w:r>
        <w:rPr>
          <w:b/>
          <w:bCs/>
        </w:rPr>
        <w:t xml:space="preserve">有益的自训练与递归坍缩。</w:t>
      </w:r>
      <w:r>
        <w:t xml:space="preserve"> </w:t>
      </w:r>
      <w:r>
        <w:t xml:space="preserve">在适当的数据混合条件下，基于伪标签的自训练能够提高准确率［Xie 等，2020］；而反复用模型生成样本替代真实数据，可能使少数模式的尾部分布逐渐丢失［Shumailov 等，2024］；在研究过的特定条件下，持续积累真实数据可以防止这种退化［Gerstgrasser 等，2024］。二者遵循反馈与数据之间的不同关系：推理生成的样本本身既不是天然有益的，也不是天然有害的；重要的是它保留了哪些信息，以及后续引发怎样的训练动作。对于保留率为</w:t>
      </w:r>
      <w:r>
        <w:t xml:space="preserve"> </w:t>
      </w:r>
      <m:oMath>
        <m:r>
          <m:t>0</m:t>
        </m:r>
        <m:r>
          <m:rPr>
            <m:sty m:val="p"/>
          </m:rPr>
          <m:t>&lt;</m:t>
        </m:r>
        <m:r>
          <m:t>ρ</m:t>
        </m:r>
        <m:r>
          <m:rPr>
            <m:sty m:val="p"/>
          </m:rPr>
          <m:t>&lt;</m:t>
        </m:r>
        <m:r>
          <m:t>1</m:t>
        </m:r>
      </m:oMath>
      <w:r>
        <w:t xml:space="preserve"> </w:t>
      </w:r>
      <w:r>
        <w:t xml:space="preserve">的某个保留不足模式，一个有条件的示意性递推为：</w:t>
      </w:r>
    </w:p>
    <w:p>
      <w:pPr>
        <w:pStyle w:val="BodyText"/>
      </w:pPr>
      <m:oMathPara>
        <m:oMathParaPr>
          <m:jc m:val="center"/>
        </m:oMathParaPr>
        <m:oMath>
          <m:sSub>
            <m:e>
              <m:r>
                <m:t>q</m:t>
              </m:r>
            </m:e>
            <m:sub>
              <m:r>
                <m:t>t</m:t>
              </m:r>
              <m:r>
                <m:rPr>
                  <m:sty m:val="p"/>
                </m:rPr>
                <m:t>+</m:t>
              </m:r>
              <m:r>
                <m:t>1</m:t>
              </m:r>
            </m:sub>
          </m:sSub>
          <m:r>
            <m:rPr>
              <m:sty m:val="p"/>
            </m:rPr>
            <m:t>=</m:t>
          </m:r>
          <m:d>
            <m:dPr>
              <m:begChr m:val="("/>
              <m:endChr m:val=")"/>
              <m:sepChr m:val=""/>
              <m:grow/>
            </m:dPr>
            <m:e>
              <m:r>
                <m:t>1</m:t>
              </m:r>
              <m:r>
                <m:rPr>
                  <m:sty m:val="p"/>
                </m:rPr>
                <m:t>−</m:t>
              </m:r>
              <m:r>
                <m:t>α</m:t>
              </m:r>
            </m:e>
          </m:d>
          <m:r>
            <m:t>ρ</m:t>
          </m:r>
          <m:sSub>
            <m:e>
              <m:r>
                <m:t>q</m:t>
              </m:r>
            </m:e>
            <m:sub>
              <m:r>
                <m:t>t</m:t>
              </m:r>
            </m:sub>
          </m:sSub>
          <m:r>
            <m:rPr>
              <m:sty m:val="p"/>
            </m:rPr>
            <m:t>+</m:t>
          </m:r>
          <m:r>
            <m:t>α</m:t>
          </m:r>
          <m:sSub>
            <m:e>
              <m:r>
                <m:t>q</m:t>
              </m:r>
            </m:e>
            <m:sub>
              <m:r>
                <m:rPr>
                  <m:sty m:val="p"/>
                </m:rPr>
                <m:t>r</m:t>
              </m:r>
              <m:r>
                <m:rPr>
                  <m:sty m:val="p"/>
                </m:rPr>
                <m:t>e</m:t>
              </m:r>
              <m:r>
                <m:rPr>
                  <m:sty m:val="p"/>
                </m:rPr>
                <m:t>a</m:t>
              </m:r>
              <m:r>
                <m:rPr>
                  <m:sty m:val="p"/>
                </m:rPr>
                <m:t>l</m:t>
              </m:r>
            </m:sub>
          </m:sSub>
          <m:r>
            <m:rPr>
              <m:sty m:val="p"/>
            </m:rPr>
            <m:t>.</m:t>
          </m:r>
        </m:oMath>
      </m:oMathPara>
    </w:p>
    <w:p>
      <w:pPr>
        <w:pStyle w:val="FirstParagraph"/>
      </w:pPr>
      <w:r>
        <w:t xml:space="preserve">当</w:t>
      </w:r>
      <w:r>
        <w:t xml:space="preserve"> </w:t>
      </w:r>
      <m:oMath>
        <m:r>
          <m:t>α</m:t>
        </m:r>
        <m:r>
          <m:rPr>
            <m:sty m:val="p"/>
          </m:rPr>
          <m:t>=</m:t>
        </m:r>
        <m:r>
          <m:t>0</m:t>
        </m:r>
      </m:oMath>
      <w:r>
        <w:t xml:space="preserve"> </w:t>
      </w:r>
      <w:r>
        <w:t xml:space="preserve">时，该模式发生收缩；当</w:t>
      </w:r>
      <w:r>
        <w:t xml:space="preserve"> </w:t>
      </w:r>
      <m:oMath>
        <m:r>
          <m:t>α</m:t>
        </m:r>
        <m:r>
          <m:rPr>
            <m:sty m:val="p"/>
          </m:rPr>
          <m:t>&gt;</m:t>
        </m:r>
        <m:r>
          <m:t>0</m:t>
        </m:r>
      </m:oMath>
      <w:r>
        <w:t xml:space="preserve"> </w:t>
      </w:r>
      <w:r>
        <w:t xml:space="preserve">且</w:t>
      </w:r>
      <w:r>
        <w:t xml:space="preserve"> </w:t>
      </w:r>
      <m:oMath>
        <m:sSub>
          <m:e>
            <m:r>
              <m:t>q</m:t>
            </m:r>
          </m:e>
          <m:sub>
            <m:r>
              <m:rPr>
                <m:sty m:val="p"/>
              </m:rPr>
              <m:t>r</m:t>
            </m:r>
            <m:r>
              <m:rPr>
                <m:sty m:val="p"/>
              </m:rPr>
              <m:t>e</m:t>
            </m:r>
            <m:r>
              <m:rPr>
                <m:sty m:val="p"/>
              </m:rPr>
              <m:t>a</m:t>
            </m:r>
            <m:r>
              <m:rPr>
                <m:sty m:val="p"/>
              </m:rPr>
              <m:t>l</m:t>
            </m:r>
          </m:sub>
        </m:sSub>
        <m:r>
          <m:rPr>
            <m:sty m:val="p"/>
          </m:rPr>
          <m:t>&gt;</m:t>
        </m:r>
        <m:r>
          <m:t>0</m:t>
        </m:r>
      </m:oMath>
      <w:r>
        <w:t xml:space="preserve"> </w:t>
      </w:r>
      <w:r>
        <w:t xml:space="preserve">时，真实数据输入提供一个正的固定点下限。这一递推描述的是某种数据模式在连续生成中反复保留不足的情况。</w:t>
      </w:r>
    </w:p>
    <w:p>
      <w:pPr>
        <w:pStyle w:val="BodyText"/>
      </w:pPr>
      <w:r>
        <w:rPr>
          <w:b/>
          <w:bCs/>
        </w:rPr>
        <w:t xml:space="preserve">理论先行的外推。</w:t>
      </w:r>
      <w:r>
        <w:t xml:space="preserve"> </w:t>
      </w:r>
      <w:r>
        <w:t xml:space="preserve">除了历史研究之间的比较，TLIR 关系还被用于在检索相关文献</w:t>
      </w:r>
      <w:r>
        <w:rPr>
          <w:b/>
          <w:bCs/>
        </w:rPr>
        <w:t xml:space="preserve">之前</w:t>
      </w:r>
      <w:r>
        <w:t xml:space="preserve">，推导条件性预测及其检验条件。例如，指数尾损失下能力形成后的最大间隔选择［Soudry 等，2018］，以及不断演化的状态在稳定性边缘处的稳定性［Cohen 等，2021］。这些比较识别了局部数学结果出现所需的特定状态、动作和边界条件。未来的实验可以直接干预这些条件，并检验相应的预测转变。</w:t>
      </w:r>
    </w:p>
    <w:bookmarkEnd w:id="41"/>
    <w:bookmarkStart w:id="42" w:name="结论"/>
    <w:p>
      <w:pPr>
        <w:pStyle w:val="Heading1"/>
      </w:pPr>
      <w:r>
        <w:t xml:space="preserve">6. 结论</w:t>
      </w:r>
    </w:p>
    <w:p>
      <w:pPr>
        <w:pStyle w:val="FirstParagraph"/>
      </w:pPr>
      <w:r>
        <w:t xml:space="preserve">我们研究神经系统统一的训练—学习—推理—强化（TLIR）动力学。六种不同架构反复呈现一组相互连接的 TLI 关系：</w:t>
      </w:r>
      <w:r>
        <w:rPr>
          <w:b/>
          <w:bCs/>
        </w:rPr>
        <w:t xml:space="preserve">实际动作、接收状态响应、持久支撑重组、能力边界以及精确版本的冻结推理</w:t>
      </w:r>
      <w:r>
        <w:t xml:space="preserve">。在第七种基于 GRU 的系统中，RL-E05/E06 表明，</w:t>
      </w:r>
      <w:r>
        <w:rPr>
          <w:b/>
          <w:bCs/>
        </w:rPr>
        <w:t xml:space="preserve">正确</w:t>
      </w:r>
      <w:r>
        <w:t xml:space="preserve">反馈可以选择性地集中功能支撑、削弱其他已经掌握的能力；当反馈被重新分配时，这些变化能够得到逆转。预测性边界算法，以及对先前分开研究的正面和负面结果所作的统一解释，均来自这一建立在实验基础上的 TLIR 理论框架。</w:t>
      </w:r>
    </w:p>
    <w:bookmarkEnd w:id="42"/>
    <w:bookmarkStart w:id="43" w:name="大语言模型使用声明llm-usage-statement"/>
    <w:p>
      <w:pPr>
        <w:pStyle w:val="Heading1"/>
      </w:pPr>
      <w:r>
        <w:t xml:space="preserve">大语言模型使用声明（LLM Usage Statement）</w:t>
      </w:r>
    </w:p>
    <w:p>
      <w:pPr>
        <w:pStyle w:val="FirstParagraph"/>
      </w:pPr>
      <w:r>
        <w:t xml:space="preserve">OpenAI ChatGPT 被用于研究构思与讨论、协助实验协议设计与代码开发／审查、解释实验记录，以及论文起草、编辑和 LaTeX 排版。作者对研究设计、全部科学主张和所报告的结果负责。</w:t>
      </w:r>
    </w:p>
    <w:bookmarkEnd w:id="43"/>
    <w:bookmarkStart w:id="44" w:name="参考文献"/>
    <w:p>
      <w:pPr>
        <w:pStyle w:val="Heading1"/>
      </w:pPr>
      <w:r>
        <w:t xml:space="preserve">参考文献</w:t>
      </w:r>
    </w:p>
    <w:p>
      <w:pPr>
        <w:pStyle w:val="FirstParagraph"/>
      </w:pPr>
      <w:r>
        <w:t xml:space="preserve">以下按会议版参考文献原有的英文著录保留，不另行改变文献信息。</w:t>
      </w:r>
    </w:p>
    <w:p>
      <w:pPr>
        <w:numPr>
          <w:ilvl w:val="0"/>
          <w:numId w:val="1001"/>
        </w:numPr>
      </w:pPr>
      <w:r>
        <w:t xml:space="preserve">M. Belkin, D. Hsu, S. Ma, and S. Mandal. Reconciling modern machine-learning practice and the classical bias–variance trade-off.</w:t>
      </w:r>
      <w:r>
        <w:t xml:space="preserve"> </w:t>
      </w:r>
      <w:r>
        <w:rPr>
          <w:i/>
          <w:iCs/>
        </w:rPr>
        <w:t xml:space="preserve">PNAS</w:t>
      </w:r>
      <w:r>
        <w:t xml:space="preserve">, 116 (32): 15849–15854, 2019.</w:t>
      </w:r>
    </w:p>
    <w:p>
      <w:pPr>
        <w:numPr>
          <w:ilvl w:val="0"/>
          <w:numId w:val="1001"/>
        </w:numPr>
      </w:pPr>
      <w:r>
        <w:t xml:space="preserve">T. B. Brown et al. Language models are few-shot learners.</w:t>
      </w:r>
      <w:r>
        <w:t xml:space="preserve"> </w:t>
      </w:r>
      <w:r>
        <w:rPr>
          <w:i/>
          <w:iCs/>
        </w:rPr>
        <w:t xml:space="preserve">Advances in Neural Information Processing Systems</w:t>
      </w:r>
      <w:r>
        <w:t xml:space="preserve">, 2020.</w:t>
      </w:r>
    </w:p>
    <w:p>
      <w:pPr>
        <w:numPr>
          <w:ilvl w:val="0"/>
          <w:numId w:val="1001"/>
        </w:numPr>
      </w:pPr>
      <w:r>
        <w:t xml:space="preserve">J. M. Cohen et al. Gradient descent on neural networks typically occurs at the edge of stability.</w:t>
      </w:r>
      <w:r>
        <w:t xml:space="preserve"> </w:t>
      </w:r>
      <w:r>
        <w:rPr>
          <w:i/>
          <w:iCs/>
        </w:rPr>
        <w:t xml:space="preserve">Proc. ICLR</w:t>
      </w:r>
      <w:r>
        <w:t xml:space="preserve">, 2021.</w:t>
      </w:r>
    </w:p>
    <w:p>
      <w:pPr>
        <w:numPr>
          <w:ilvl w:val="0"/>
          <w:numId w:val="1001"/>
        </w:numPr>
      </w:pPr>
      <w:r>
        <w:t xml:space="preserve">L. Dinh, R. Pascanu, S. Bengio, and Y. Bengio. Sharp minima can generalize for deep nets.</w:t>
      </w:r>
      <w:r>
        <w:t xml:space="preserve"> </w:t>
      </w:r>
      <w:r>
        <w:rPr>
          <w:i/>
          <w:iCs/>
        </w:rPr>
        <w:t xml:space="preserve">Proc. ICML</w:t>
      </w:r>
      <w:r>
        <w:t xml:space="preserve">, pages 1019–1028, 2017.</w:t>
      </w:r>
    </w:p>
    <w:p>
      <w:pPr>
        <w:numPr>
          <w:ilvl w:val="0"/>
          <w:numId w:val="1001"/>
        </w:numPr>
      </w:pPr>
      <w:r>
        <w:t xml:space="preserve">M. Farajtabar, N. Azizan, A. Mott, and A. Li. Orthogonal gradient descent for continual learning.</w:t>
      </w:r>
      <w:r>
        <w:t xml:space="preserve"> </w:t>
      </w:r>
      <w:r>
        <w:rPr>
          <w:i/>
          <w:iCs/>
        </w:rPr>
        <w:t xml:space="preserve">Proc. AISTATS</w:t>
      </w:r>
      <w:r>
        <w:t xml:space="preserve">, pages 3762–3773, 2020.</w:t>
      </w:r>
    </w:p>
    <w:p>
      <w:pPr>
        <w:numPr>
          <w:ilvl w:val="0"/>
          <w:numId w:val="1001"/>
        </w:numPr>
      </w:pPr>
      <w:r>
        <w:t xml:space="preserve">P. Foret, A. Kleiner, H. Mobahi, and B. Neyshabur. Sharpness-aware minimization for efficiently improving generalization.</w:t>
      </w:r>
      <w:r>
        <w:t xml:space="preserve"> </w:t>
      </w:r>
      <w:r>
        <w:rPr>
          <w:i/>
          <w:iCs/>
        </w:rPr>
        <w:t xml:space="preserve">Proc. ICLR</w:t>
      </w:r>
      <w:r>
        <w:t xml:space="preserve">, 2021.</w:t>
      </w:r>
    </w:p>
    <w:p>
      <w:pPr>
        <w:numPr>
          <w:ilvl w:val="0"/>
          <w:numId w:val="1001"/>
        </w:numPr>
      </w:pPr>
      <w:r>
        <w:t xml:space="preserve">A. Geiger et al. Causal abstraction: A theoretical foundation for mechanistic interpretability.</w:t>
      </w:r>
      <w:r>
        <w:t xml:space="preserve"> </w:t>
      </w:r>
      <w:r>
        <w:rPr>
          <w:i/>
          <w:iCs/>
        </w:rPr>
        <w:t xml:space="preserve">J. Mach. Learn. Res.</w:t>
      </w:r>
      <w:r>
        <w:t xml:space="preserve">, 26 (83): 1–64, 2025.</w:t>
      </w:r>
    </w:p>
    <w:p>
      <w:pPr>
        <w:numPr>
          <w:ilvl w:val="0"/>
          <w:numId w:val="1001"/>
        </w:numPr>
      </w:pPr>
      <w:r>
        <w:t xml:space="preserve">M. Gerstgrasser et al. Is model collapse inevitable? breaking the curse of recursion by accumulating real and synthetic data.</w:t>
      </w:r>
      <w:r>
        <w:t xml:space="preserve"> </w:t>
      </w:r>
      <w:r>
        <w:rPr>
          <w:i/>
          <w:iCs/>
        </w:rPr>
        <w:t xml:space="preserve">ICML Workshop on Foundation Models in the Wild</w:t>
      </w:r>
      <w:r>
        <w:t xml:space="preserve">, 2024.</w:t>
      </w:r>
    </w:p>
    <w:p>
      <w:pPr>
        <w:numPr>
          <w:ilvl w:val="0"/>
          <w:numId w:val="1001"/>
        </w:numPr>
      </w:pPr>
      <w:r>
        <w:t xml:space="preserve">A. Jacot, F. Gabriel, and C. Hongler. Neural tangent kernel: Convergence and generalization in neural networks.</w:t>
      </w:r>
      <w:r>
        <w:t xml:space="preserve"> </w:t>
      </w:r>
      <w:r>
        <w:rPr>
          <w:i/>
          <w:iCs/>
        </w:rPr>
        <w:t xml:space="preserve">Advances in Neural Information Processing Systems</w:t>
      </w:r>
      <w:r>
        <w:t xml:space="preserve">, 2018.</w:t>
      </w:r>
    </w:p>
    <w:p>
      <w:pPr>
        <w:numPr>
          <w:ilvl w:val="0"/>
          <w:numId w:val="1001"/>
        </w:numPr>
      </w:pPr>
      <w:r>
        <w:t xml:space="preserve">K. Kawaguchi et al. How does information bottleneck help deep learning?</w:t>
      </w:r>
      <w:r>
        <w:t xml:space="preserve"> </w:t>
      </w:r>
      <w:r>
        <w:rPr>
          <w:i/>
          <w:iCs/>
        </w:rPr>
        <w:t xml:space="preserve">Proc. ICML</w:t>
      </w:r>
      <w:r>
        <w:t xml:space="preserve">, 2023.</w:t>
      </w:r>
    </w:p>
    <w:p>
      <w:pPr>
        <w:numPr>
          <w:ilvl w:val="0"/>
          <w:numId w:val="1001"/>
        </w:numPr>
      </w:pPr>
      <w:r>
        <w:t xml:space="preserve">J. Kirkpatrick et al. Overcoming catastrophic forgetting in neural networks.</w:t>
      </w:r>
      <w:r>
        <w:t xml:space="preserve"> </w:t>
      </w:r>
      <w:r>
        <w:rPr>
          <w:i/>
          <w:iCs/>
        </w:rPr>
        <w:t xml:space="preserve">PNAS</w:t>
      </w:r>
      <w:r>
        <w:t xml:space="preserve">, 114 (13): 3521–3526, 2017.</w:t>
      </w:r>
    </w:p>
    <w:p>
      <w:pPr>
        <w:numPr>
          <w:ilvl w:val="0"/>
          <w:numId w:val="1001"/>
        </w:numPr>
      </w:pPr>
      <w:r>
        <w:t xml:space="preserve">D. Lopez-Paz and M. A. Ranzato. Gradient episodic memory for continual learning.</w:t>
      </w:r>
      <w:r>
        <w:t xml:space="preserve"> </w:t>
      </w:r>
      <w:r>
        <w:rPr>
          <w:i/>
          <w:iCs/>
        </w:rPr>
        <w:t xml:space="preserve">Advances in Neural Information Processing Systems</w:t>
      </w:r>
      <w:r>
        <w:t xml:space="preserve">, pages 6467–6476, 2017.</w:t>
      </w:r>
    </w:p>
    <w:p>
      <w:pPr>
        <w:numPr>
          <w:ilvl w:val="0"/>
          <w:numId w:val="1001"/>
        </w:numPr>
      </w:pPr>
      <w:r>
        <w:t xml:space="preserve">P. Nakkiran et al. Deep double descent: Where bigger models and more data hurt.</w:t>
      </w:r>
      <w:r>
        <w:t xml:space="preserve"> </w:t>
      </w:r>
      <w:r>
        <w:rPr>
          <w:i/>
          <w:iCs/>
        </w:rPr>
        <w:t xml:space="preserve">Proc. ICLR</w:t>
      </w:r>
      <w:r>
        <w:t xml:space="preserve">, 2020.</w:t>
      </w:r>
    </w:p>
    <w:p>
      <w:pPr>
        <w:numPr>
          <w:ilvl w:val="0"/>
          <w:numId w:val="1001"/>
        </w:numPr>
      </w:pPr>
      <w:r>
        <w:t xml:space="preserve">N. Nanda, L. Chan, T. Lieberum, J. Smith, and J. Steinhardt. Progress measures for grokking via mechanistic interpretability.</w:t>
      </w:r>
      <w:r>
        <w:t xml:space="preserve"> </w:t>
      </w:r>
      <w:r>
        <w:rPr>
          <w:i/>
          <w:iCs/>
        </w:rPr>
        <w:t xml:space="preserve">International Conference on Learning Representations</w:t>
      </w:r>
      <w:r>
        <w:t xml:space="preserve">, 2023.</w:t>
      </w:r>
    </w:p>
    <w:p>
      <w:pPr>
        <w:numPr>
          <w:ilvl w:val="0"/>
          <w:numId w:val="1001"/>
        </w:numPr>
      </w:pPr>
      <w:r>
        <w:t xml:space="preserve">L. Ouyang et al. Training language models to follow instructions with human feedback.</w:t>
      </w:r>
      <w:r>
        <w:t xml:space="preserve"> </w:t>
      </w:r>
      <w:r>
        <w:rPr>
          <w:i/>
          <w:iCs/>
        </w:rPr>
        <w:t xml:space="preserve">Advances in Neural Information Processing Systems</w:t>
      </w:r>
      <w:r>
        <w:t xml:space="preserve">, 2022.</w:t>
      </w:r>
    </w:p>
    <w:p>
      <w:pPr>
        <w:numPr>
          <w:ilvl w:val="0"/>
          <w:numId w:val="1001"/>
        </w:numPr>
      </w:pPr>
      <w:r>
        <w:t xml:space="preserve">V. Papyan, X. Y. Han, and D. L. Donoho. Prevalence of neural collapse during the terminal phase of deep learning training.</w:t>
      </w:r>
      <w:r>
        <w:t xml:space="preserve"> </w:t>
      </w:r>
      <w:r>
        <w:rPr>
          <w:i/>
          <w:iCs/>
        </w:rPr>
        <w:t xml:space="preserve">PNAS</w:t>
      </w:r>
      <w:r>
        <w:t xml:space="preserve">, 117 (40): 24652–24663, 2020.</w:t>
      </w:r>
    </w:p>
    <w:p>
      <w:pPr>
        <w:numPr>
          <w:ilvl w:val="0"/>
          <w:numId w:val="1001"/>
        </w:numPr>
      </w:pPr>
      <w:r>
        <w:t xml:space="preserve">A. Power, Y. Burda, H. Edwards, I. Babuschkin, and V. Misra. Grokking: Generalization beyond overfitting on small algorithmic datasets, 2022. arXiv:2201.02177, 2022.</w:t>
      </w:r>
    </w:p>
    <w:p>
      <w:pPr>
        <w:numPr>
          <w:ilvl w:val="0"/>
          <w:numId w:val="1001"/>
        </w:numPr>
      </w:pPr>
      <w:r>
        <w:t xml:space="preserve">N. Rahaman et al. On the spectral bias of neural networks.</w:t>
      </w:r>
      <w:r>
        <w:t xml:space="preserve"> </w:t>
      </w:r>
      <w:r>
        <w:rPr>
          <w:i/>
          <w:iCs/>
        </w:rPr>
        <w:t xml:space="preserve">Proc. ICML</w:t>
      </w:r>
      <w:r>
        <w:t xml:space="preserve">, pages 5301–5310, 2019.</w:t>
      </w:r>
    </w:p>
    <w:p>
      <w:pPr>
        <w:numPr>
          <w:ilvl w:val="0"/>
          <w:numId w:val="1001"/>
        </w:numPr>
      </w:pPr>
      <w:r>
        <w:t xml:space="preserve">A. M. Saxe et al. On the information bottleneck theory of deep learning.</w:t>
      </w:r>
      <w:r>
        <w:t xml:space="preserve"> </w:t>
      </w:r>
      <w:r>
        <w:rPr>
          <w:i/>
          <w:iCs/>
        </w:rPr>
        <w:t xml:space="preserve">Proc. ICLR</w:t>
      </w:r>
      <w:r>
        <w:t xml:space="preserve">, 2018.</w:t>
      </w:r>
    </w:p>
    <w:p>
      <w:pPr>
        <w:numPr>
          <w:ilvl w:val="0"/>
          <w:numId w:val="1001"/>
        </w:numPr>
      </w:pPr>
      <w:r>
        <w:t xml:space="preserve">I. Shumailov et al. Ai models collapse when trained on recursively generated data.</w:t>
      </w:r>
      <w:r>
        <w:t xml:space="preserve"> </w:t>
      </w:r>
      <w:r>
        <w:rPr>
          <w:i/>
          <w:iCs/>
        </w:rPr>
        <w:t xml:space="preserve">Nature</w:t>
      </w:r>
      <w:r>
        <w:t xml:space="preserve">, 631: 755–759, 2024.</w:t>
      </w:r>
    </w:p>
    <w:p>
      <w:pPr>
        <w:numPr>
          <w:ilvl w:val="0"/>
          <w:numId w:val="1001"/>
        </w:numPr>
      </w:pPr>
      <w:r>
        <w:t xml:space="preserve">D. Soudry et al. The implicit bias of gradient descent on separable data.</w:t>
      </w:r>
      <w:r>
        <w:t xml:space="preserve"> </w:t>
      </w:r>
      <w:r>
        <w:rPr>
          <w:i/>
          <w:iCs/>
        </w:rPr>
        <w:t xml:space="preserve">J. Mach. Learn. Res.</w:t>
      </w:r>
      <w:r>
        <w:t xml:space="preserve">, 19 (70): 1–57, 2018.</w:t>
      </w:r>
    </w:p>
    <w:p>
      <w:pPr>
        <w:numPr>
          <w:ilvl w:val="0"/>
          <w:numId w:val="1001"/>
        </w:numPr>
      </w:pPr>
      <w:r>
        <w:t xml:space="preserve">N. Tishby and N. Zaslavsky. Deep learning and the information bottleneck principle, 2015. in IEEE Information Theory Workshop, 2015, arXiv:1503.02406.</w:t>
      </w:r>
    </w:p>
    <w:p>
      <w:pPr>
        <w:numPr>
          <w:ilvl w:val="0"/>
          <w:numId w:val="1001"/>
        </w:numPr>
      </w:pPr>
      <w:r>
        <w:t xml:space="preserve">A. Vaswani et al. Attention is all you need.</w:t>
      </w:r>
      <w:r>
        <w:t xml:space="preserve"> </w:t>
      </w:r>
      <w:r>
        <w:rPr>
          <w:i/>
          <w:iCs/>
        </w:rPr>
        <w:t xml:space="preserve">Advances in Neural Information Processing Systems</w:t>
      </w:r>
      <w:r>
        <w:t xml:space="preserve">, pages 5998–6008, 2017.</w:t>
      </w:r>
    </w:p>
    <w:p>
      <w:pPr>
        <w:numPr>
          <w:ilvl w:val="0"/>
          <w:numId w:val="1001"/>
        </w:numPr>
      </w:pPr>
      <w:r>
        <w:t xml:space="preserve">J. Wei et al. Chain-of-thought prompting elicits reasoning in large language models.</w:t>
      </w:r>
      <w:r>
        <w:t xml:space="preserve"> </w:t>
      </w:r>
      <w:r>
        <w:rPr>
          <w:i/>
          <w:iCs/>
        </w:rPr>
        <w:t xml:space="preserve">Advances in Neural Information Processing Systems</w:t>
      </w:r>
      <w:r>
        <w:t xml:space="preserve">, 2022.</w:t>
      </w:r>
    </w:p>
    <w:p>
      <w:pPr>
        <w:numPr>
          <w:ilvl w:val="0"/>
          <w:numId w:val="1001"/>
        </w:numPr>
      </w:pPr>
      <w:r>
        <w:t xml:space="preserve">Q. Xie, M.-T. Luong, E. Hovy, and Q. V. Le. Self-training with noisy student improves imagenet classification.</w:t>
      </w:r>
      <w:r>
        <w:t xml:space="preserve"> </w:t>
      </w:r>
      <w:r>
        <w:rPr>
          <w:i/>
          <w:iCs/>
        </w:rPr>
        <w:t xml:space="preserve">Proc. CVPR</w:t>
      </w:r>
      <w:r>
        <w:t xml:space="preserve">, pages 10687–10698, 2020.</w:t>
      </w:r>
    </w:p>
    <w:p>
      <w:pPr>
        <w:numPr>
          <w:ilvl w:val="0"/>
          <w:numId w:val="1001"/>
        </w:numPr>
      </w:pPr>
      <w:r>
        <w:t xml:space="preserve">G. Yang and E. J. Hu. Tensor programs iv: Feature learning in infinite-width neural networks.</w:t>
      </w:r>
      <w:r>
        <w:t xml:space="preserve"> </w:t>
      </w:r>
      <w:r>
        <w:rPr>
          <w:i/>
          <w:iCs/>
        </w:rPr>
        <w:t xml:space="preserve">Proc. ICML</w:t>
      </w:r>
      <w:r>
        <w:t xml:space="preserve">, pages 11727–11737, 2021.</w:t>
      </w:r>
    </w:p>
    <w:bookmarkEnd w:id="44"/>
    <w:sectPr w:rsidR="00FC693F" w:rsidRPr="0006063C" w:rsidSect="00034616">
      <w:pgSz w:h="16838" w:w="11906"/>
      <w:pgMar w:bottom="1191" w:footer="624" w:gutter="0" w:header="624" w:left="1361" w:right="1361" w:top="130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pPr>
    <w:rPr>
      <w:rFonts w:ascii="Noto Serif CJK SC" w:eastAsia="Noto Serif CJK SC" w:hAnsi="Noto Serif CJK SC"/>
      <w:b w:val="0"/>
      <w:color w:val="282F3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Noto Serif CJK SC" w:eastAsia="Noto Serif CJK SC" w:hAnsi="Noto Serif CJK SC"/>
      <w:b/>
      <w:bCs/>
      <w:color w:val="1F354A"/>
      <w:sz w:val="30"/>
      <w:szCs w:val="28"/>
    </w:rPr>
  </w:style>
  <w:style w:styleId="Heading2" w:type="paragraph">
    <w:name w:val="heading 2"/>
    <w:basedOn w:val="Normal"/>
    <w:next w:val="Normal"/>
    <w:link w:val="Heading2Char"/>
    <w:uiPriority w:val="9"/>
    <w:unhideWhenUsed/>
    <w:qFormat/>
    <w:rsid w:val="00FC693F"/>
    <w:pPr>
      <w:keepNext/>
      <w:keepLines/>
      <w:spacing w:after="120" w:before="220"/>
      <w:outlineLvl w:val="1"/>
    </w:pPr>
    <w:rPr>
      <w:rFonts w:ascii="Noto Serif CJK SC" w:eastAsia="Noto Serif CJK SC" w:hAnsi="Noto Serif CJK SC"/>
      <w:b/>
      <w:bCs/>
      <w:color w:val="1F354A"/>
      <w:sz w:val="25"/>
      <w:szCs w:val="26"/>
    </w:rPr>
  </w:style>
  <w:style w:styleId="Heading3" w:type="paragraph">
    <w:name w:val="heading 3"/>
    <w:basedOn w:val="Normal"/>
    <w:next w:val="Normal"/>
    <w:link w:val="Heading3Char"/>
    <w:uiPriority w:val="9"/>
    <w:unhideWhenUsed/>
    <w:qFormat/>
    <w:rsid w:val="00FC693F"/>
    <w:pPr>
      <w:keepNext/>
      <w:keepLines/>
      <w:spacing w:after="120" w:before="140"/>
      <w:outlineLvl w:val="2"/>
    </w:pPr>
    <w:rPr>
      <w:rFonts w:ascii="Noto Serif CJK SC" w:eastAsia="Noto Serif CJK SC" w:hAnsi="Noto Serif CJK SC"/>
      <w:b/>
      <w:bCs/>
      <w:color w:val="1F354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360" w:line="240" w:lineRule="auto"/>
      <w:contextualSpacing/>
    </w:pPr>
    <w:rPr>
      <w:rFonts w:ascii="Noto Serif CJK SC" w:eastAsia="Noto Serif CJK SC" w:hAnsi="Noto Serif CJK SC"/>
      <w:b/>
      <w:color w:val="1F35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pPr>
    <w:rPr>
      <w:rFonts w:ascii="Noto Serif CJK SC" w:eastAsia="Noto Serif CJK SC" w:hAnsi="Noto Serif CJK SC"/>
      <w:b w:val="0"/>
      <w:i/>
      <w:iCs/>
      <w:color w:val="5E728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Noto Serif CJK SC" w:eastAsia="Noto Serif CJK SC" w:hAnsi="Noto Serif CJK SC"/>
      <w:b w:val="0"/>
      <w:bCs/>
      <w:color w:val="586977"/>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跨神经系统的统一训练—学习—推理—强化动力学</dc:title>
  <dc:creator>原稿署名：匿名 CVPR 投稿（Anonymous CVPR Submission）</dc:creator>
  <dc:language>zh-CN</dc:language>
  <cp:keywords/>
  <dcterms:created xsi:type="dcterms:W3CDTF">2026-10-24T19:42:44Z</dcterms:created>
  <dcterms:modified xsi:type="dcterms:W3CDTF">2026-10-24T19:42:44Z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False</vt:lpwstr>
  </property>
  <property fmtid="{D5CDD505-2E9C-101B-9397-08002B2CF9AE}" pid="3" name="fontsize">
    <vt:lpwstr>11pt</vt:lpwstr>
  </property>
  <property fmtid="{D5CDD505-2E9C-101B-9397-08002B2CF9AE}" pid="4" name="geometry">
    <vt:lpwstr>margin=2.35cm</vt:lpwstr>
  </property>
  <property fmtid="{D5CDD505-2E9C-101B-9397-08002B2CF9AE}" pid="5" name="linestretch">
    <vt:lpwstr>1.32</vt:lpwstr>
  </property>
  <property fmtid="{D5CDD505-2E9C-101B-9397-08002B2CF9AE}" pid="6" name="subtitle">
    <vt:lpwstr>CVPR 2027 会议版论文 · 忠实中文译稿</vt:lpwstr>
  </property>
</Properties>
</file>