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0" w:after="70"/>
        <w:rPr/>
      </w:pPr>
      <w:r>
        <w:rPr>
          <w:b/>
          <w:bCs/>
          <w:sz w:val="32"/>
          <w:szCs w:val="32"/>
        </w:rPr>
        <w:t>Guía completa de la actividad</w:t>
      </w:r>
    </w:p>
    <w:p>
      <w:pPr>
        <w:pStyle w:val="Normal"/>
        <w:spacing w:before="0" w:after="40"/>
        <w:rPr/>
      </w:pPr>
      <w:r>
        <w:rPr>
          <w:b/>
          <w:bCs/>
        </w:rPr>
        <w:t>Ficha del proyecto y repositorio en GitHub</w:t>
      </w:r>
    </w:p>
    <w:p>
      <w:pPr>
        <w:pStyle w:val="Normal"/>
        <w:spacing w:before="0" w:after="200"/>
        <w:rPr/>
      </w:pPr>
      <w:r>
        <w:rPr>
          <w:i/>
          <w:iCs/>
          <w:color w:val="444444"/>
          <w:sz w:val="20"/>
          <w:szCs w:val="20"/>
        </w:rPr>
        <w:t>Minería de Datos · Entrega antes de la sesión del 15 de septiembre de 2026 · Vale 10% del Corte 1</w:t>
      </w:r>
    </w:p>
    <w:p>
      <w:pPr>
        <w:pStyle w:val="Heading1"/>
        <w:spacing w:before="320" w:after="120"/>
        <w:rPr>
          <w:b/>
          <w:bCs/>
          <w:color w:themeColor="text1" w:val="000000"/>
        </w:rPr>
      </w:pPr>
      <w:r>
        <w:rPr>
          <w:b/>
          <w:bCs/>
          <w:color w:themeColor="text1" w:val="000000"/>
        </w:rPr>
        <w:t>Qué deben entregar</w:t>
      </w:r>
    </w:p>
    <w:p>
      <w:pPr>
        <w:pStyle w:val="ListParagraph"/>
        <w:numPr>
          <w:ilvl w:val="0"/>
          <w:numId w:val="4"/>
        </w:numPr>
        <w:spacing w:before="0" w:after="55"/>
        <w:rPr/>
      </w:pPr>
      <w:r>
        <w:rPr/>
        <w:t>Su Ficha del proyecto completa, con los 6 campos que se explican en esta guía (pueden entregarla en este mismo documento, completado, o pasarlo a su repositorio).</w:t>
      </w:r>
    </w:p>
    <w:p>
      <w:pPr>
        <w:pStyle w:val="ListParagraph"/>
        <w:numPr>
          <w:ilvl w:val="0"/>
          <w:numId w:val="2"/>
        </w:numPr>
        <w:spacing w:before="0" w:after="55"/>
        <w:rPr/>
      </w:pPr>
      <w:r>
        <w:rPr/>
        <w:t>El link de su repositorio en GitHub, con el README inicial y la estructura de carpetas /data y /notebooks.</w:t>
      </w:r>
    </w:p>
    <w:p>
      <w:pPr>
        <w:pStyle w:val="Heading1"/>
        <w:spacing w:before="320" w:after="120"/>
        <w:rPr>
          <w:b/>
          <w:bCs/>
          <w:color w:themeColor="text1" w:val="000000"/>
        </w:rPr>
      </w:pPr>
      <w:r>
        <w:rPr>
          <w:b/>
          <w:bCs/>
          <w:color w:themeColor="text1" w:val="000000"/>
        </w:rPr>
        <w:t>1. Objetivo del proyecto</w:t>
      </w:r>
    </w:p>
    <w:p>
      <w:pPr>
        <w:pStyle w:val="Normal"/>
        <w:spacing w:before="0" w:after="110"/>
        <w:rPr>
          <w:color w:themeColor="text1" w:val="000000"/>
        </w:rPr>
      </w:pPr>
      <w:r>
        <w:rPr>
          <w:color w:themeColor="text1" w:val="000000"/>
        </w:rPr>
        <w:t>Es la decisión que su proyecto quiere apoyar. Debe tener forma de PREGUNTA, no de tema.</w:t>
      </w:r>
    </w:p>
    <w:p>
      <w:pPr>
        <w:pStyle w:val="Heading3"/>
        <w:spacing w:before="150" w:after="60"/>
        <w:rPr>
          <w:color w:themeColor="text1" w:val="000000"/>
        </w:rPr>
      </w:pPr>
      <w:r>
        <w:rPr>
          <w:color w:themeColor="text1" w:val="000000"/>
        </w:rPr>
        <w:t>Preguntas orientadoras</w:t>
      </w:r>
    </w:p>
    <w:p>
      <w:pPr>
        <w:pStyle w:val="ListParagraph"/>
        <w:numPr>
          <w:ilvl w:val="0"/>
          <w:numId w:val="2"/>
        </w:numPr>
        <w:spacing w:before="0" w:after="40"/>
        <w:rPr>
          <w:color w:themeColor="text1" w:val="000000"/>
        </w:rPr>
      </w:pPr>
      <w:r>
        <w:rPr>
          <w:color w:themeColor="text1" w:val="000000"/>
        </w:rPr>
        <w:t>¿Qué organización, sector o contexto les interesa? (puede ser real o uno del banco de proyectos de respaldo)</w:t>
      </w:r>
    </w:p>
    <w:p>
      <w:pPr>
        <w:pStyle w:val="ListParagraph"/>
        <w:numPr>
          <w:ilvl w:val="0"/>
          <w:numId w:val="2"/>
        </w:numPr>
        <w:spacing w:before="0" w:after="40"/>
        <w:rPr>
          <w:color w:themeColor="text1" w:val="000000"/>
        </w:rPr>
      </w:pPr>
      <w:r>
        <w:rPr>
          <w:color w:themeColor="text1" w:val="000000"/>
        </w:rPr>
        <w:t>¿Quién tomaría una decisión distinta según la respuesta a su pregunta? Nómbrenlo (ej: el gerente, el coordinador académico, el médico jefe).</w:t>
      </w:r>
    </w:p>
    <w:p>
      <w:pPr>
        <w:pStyle w:val="ListParagraph"/>
        <w:numPr>
          <w:ilvl w:val="0"/>
          <w:numId w:val="2"/>
        </w:numPr>
        <w:spacing w:before="0" w:after="40"/>
        <w:rPr>
          <w:color w:themeColor="text1" w:val="000000"/>
        </w:rPr>
      </w:pPr>
      <w:r>
        <w:rPr>
          <w:color w:themeColor="text1" w:val="000000"/>
        </w:rPr>
        <w:t>¿Qué acción concreta se tomaría con el resultado?</w:t>
      </w:r>
    </w:p>
    <w:p>
      <w:pPr>
        <w:pStyle w:val="ListParagraph"/>
        <w:numPr>
          <w:ilvl w:val="0"/>
          <w:numId w:val="2"/>
        </w:numPr>
        <w:spacing w:before="0" w:after="40"/>
        <w:rPr>
          <w:color w:themeColor="text1" w:val="000000"/>
        </w:rPr>
      </w:pPr>
      <w:r>
        <w:rPr>
          <w:color w:themeColor="text1" w:val="000000"/>
        </w:rPr>
        <w:t>¿Se puede responder con datos que existan o que puedan conseguir en las próximas semanas?</w:t>
      </w:r>
    </w:p>
    <w:p>
      <w:pPr>
        <w:pStyle w:val="Heading3"/>
        <w:spacing w:before="150" w:after="60"/>
        <w:rPr>
          <w:b/>
          <w:bCs/>
          <w:color w:themeColor="text1" w:val="000000"/>
        </w:rPr>
      </w:pPr>
      <w:r>
        <w:rPr>
          <w:b/>
          <w:bCs/>
          <w:color w:themeColor="text1" w:val="000000"/>
        </w:rPr>
        <w:t>Ejemplos (tema → pregunta de decisión)</w:t>
      </w:r>
    </w:p>
    <w:tbl>
      <w:tblPr>
        <w:tblW w:w="9360" w:type="dxa"/>
        <w:jc w:val="start"/>
        <w:tblInd w:w="0" w:type="dxa"/>
        <w:tblLayout w:type="fixed"/>
        <w:tblCellMar>
          <w:top w:w="80" w:type="dxa"/>
          <w:start w:w="100" w:type="dxa"/>
          <w:bottom w:w="80" w:type="dxa"/>
          <w:end w:w="100" w:type="dxa"/>
        </w:tblCellMar>
        <w:tblLook w:val="04a0" w:firstRow="1" w:noVBand="1" w:lastRow="0" w:firstColumn="1" w:lastColumn="0" w:noHBand="0"/>
      </w:tblPr>
      <w:tblGrid>
        <w:gridCol w:w="1598"/>
        <w:gridCol w:w="3602"/>
        <w:gridCol w:w="4160"/>
      </w:tblGrid>
      <w:tr>
        <w:trPr/>
        <w:tc>
          <w:tcPr>
            <w:tcW w:w="1598" w:type="dxa"/>
            <w:tcBorders>
              <w:top w:val="single" w:sz="4" w:space="0" w:color="000000"/>
              <w:start w:val="single" w:sz="4" w:space="0" w:color="000000"/>
              <w:bottom w:val="single" w:sz="4" w:space="0" w:color="000000"/>
              <w:end w:val="single" w:sz="4" w:space="0" w:color="000000"/>
            </w:tcBorders>
            <w:shd w:color="auto" w:fill="1F3864" w:val="clear"/>
          </w:tcPr>
          <w:p>
            <w:pPr>
              <w:pStyle w:val="Normal"/>
              <w:rPr/>
            </w:pPr>
            <w:r>
              <w:rPr>
                <w:b/>
                <w:bCs/>
                <w:color w:val="FFFFFF"/>
                <w:sz w:val="20"/>
                <w:szCs w:val="20"/>
              </w:rPr>
              <w:t>Sector</w:t>
            </w:r>
          </w:p>
        </w:tc>
        <w:tc>
          <w:tcPr>
            <w:tcW w:w="3602" w:type="dxa"/>
            <w:tcBorders>
              <w:top w:val="single" w:sz="4" w:space="0" w:color="000000"/>
              <w:start w:val="single" w:sz="4" w:space="0" w:color="000000"/>
              <w:bottom w:val="single" w:sz="4" w:space="0" w:color="000000"/>
              <w:end w:val="single" w:sz="4" w:space="0" w:color="000000"/>
            </w:tcBorders>
            <w:shd w:color="auto" w:fill="1F3864" w:val="clear"/>
          </w:tcPr>
          <w:p>
            <w:pPr>
              <w:pStyle w:val="Normal"/>
              <w:rPr/>
            </w:pPr>
            <w:r>
              <w:rPr>
                <w:b/>
                <w:bCs/>
                <w:color w:val="FFFFFF"/>
                <w:sz w:val="20"/>
                <w:szCs w:val="20"/>
              </w:rPr>
              <w:t>Tema (insuficiente)</w:t>
            </w:r>
          </w:p>
        </w:tc>
        <w:tc>
          <w:tcPr>
            <w:tcW w:w="4160" w:type="dxa"/>
            <w:tcBorders>
              <w:top w:val="single" w:sz="4" w:space="0" w:color="000000"/>
              <w:start w:val="single" w:sz="4" w:space="0" w:color="000000"/>
              <w:bottom w:val="single" w:sz="4" w:space="0" w:color="000000"/>
              <w:end w:val="single" w:sz="4" w:space="0" w:color="000000"/>
            </w:tcBorders>
            <w:shd w:color="auto" w:fill="1F3864" w:val="clear"/>
          </w:tcPr>
          <w:p>
            <w:pPr>
              <w:pStyle w:val="Normal"/>
              <w:rPr/>
            </w:pPr>
            <w:r>
              <w:rPr>
                <w:b/>
                <w:bCs/>
                <w:color w:val="FFFFFF"/>
                <w:sz w:val="20"/>
                <w:szCs w:val="20"/>
              </w:rPr>
              <w:t>Pregunta de decisión</w:t>
            </w:r>
          </w:p>
        </w:tc>
      </w:tr>
      <w:tr>
        <w:trPr/>
        <w:tc>
          <w:tcPr>
            <w:tcW w:w="1598" w:type="dxa"/>
            <w:tcBorders>
              <w:top w:val="single" w:sz="4" w:space="0" w:color="000000"/>
              <w:start w:val="single" w:sz="4" w:space="0" w:color="000000"/>
              <w:bottom w:val="single" w:sz="4" w:space="0" w:color="000000"/>
              <w:end w:val="single" w:sz="4" w:space="0" w:color="000000"/>
            </w:tcBorders>
          </w:tcPr>
          <w:p>
            <w:pPr>
              <w:pStyle w:val="Normal"/>
              <w:rPr/>
            </w:pPr>
            <w:r>
              <w:rPr>
                <w:color w:val="000000"/>
                <w:sz w:val="20"/>
                <w:szCs w:val="20"/>
              </w:rPr>
              <w:t>Retail</w:t>
            </w:r>
          </w:p>
        </w:tc>
        <w:tc>
          <w:tcPr>
            <w:tcW w:w="3602" w:type="dxa"/>
            <w:tcBorders>
              <w:top w:val="single" w:sz="4" w:space="0" w:color="000000"/>
              <w:start w:val="single" w:sz="4" w:space="0" w:color="000000"/>
              <w:bottom w:val="single" w:sz="4" w:space="0" w:color="000000"/>
              <w:end w:val="single" w:sz="4" w:space="0" w:color="000000"/>
            </w:tcBorders>
          </w:tcPr>
          <w:p>
            <w:pPr>
              <w:pStyle w:val="Normal"/>
              <w:rPr/>
            </w:pPr>
            <w:r>
              <w:rPr>
                <w:color w:val="000000"/>
                <w:sz w:val="20"/>
                <w:szCs w:val="20"/>
              </w:rPr>
              <w:t>Analizar las ventas de una tienda.</w:t>
            </w:r>
          </w:p>
        </w:tc>
        <w:tc>
          <w:tcPr>
            <w:tcW w:w="4160" w:type="dxa"/>
            <w:tcBorders>
              <w:top w:val="single" w:sz="4" w:space="0" w:color="000000"/>
              <w:start w:val="single" w:sz="4" w:space="0" w:color="000000"/>
              <w:bottom w:val="single" w:sz="4" w:space="0" w:color="000000"/>
              <w:end w:val="single" w:sz="4" w:space="0" w:color="000000"/>
            </w:tcBorders>
          </w:tcPr>
          <w:p>
            <w:pPr>
              <w:pStyle w:val="Normal"/>
              <w:rPr/>
            </w:pPr>
            <w:r>
              <w:rPr>
                <w:color w:val="000000"/>
                <w:sz w:val="20"/>
                <w:szCs w:val="20"/>
              </w:rPr>
              <w:t>¿Qué categorías y regiones generan más pérdida neta pese a vender mucho, para decidir dónde ajustar los descuentos?</w:t>
            </w:r>
          </w:p>
        </w:tc>
      </w:tr>
      <w:tr>
        <w:trPr/>
        <w:tc>
          <w:tcPr>
            <w:tcW w:w="1598" w:type="dxa"/>
            <w:tcBorders>
              <w:top w:val="single" w:sz="4" w:space="0" w:color="000000"/>
              <w:start w:val="single" w:sz="4" w:space="0" w:color="000000"/>
              <w:bottom w:val="single" w:sz="4" w:space="0" w:color="000000"/>
              <w:end w:val="single" w:sz="4" w:space="0" w:color="000000"/>
            </w:tcBorders>
          </w:tcPr>
          <w:p>
            <w:pPr>
              <w:pStyle w:val="Normal"/>
              <w:rPr/>
            </w:pPr>
            <w:r>
              <w:rPr>
                <w:color w:val="000000"/>
                <w:sz w:val="20"/>
                <w:szCs w:val="20"/>
              </w:rPr>
              <w:t>Educación</w:t>
            </w:r>
          </w:p>
        </w:tc>
        <w:tc>
          <w:tcPr>
            <w:tcW w:w="3602" w:type="dxa"/>
            <w:tcBorders>
              <w:top w:val="single" w:sz="4" w:space="0" w:color="000000"/>
              <w:start w:val="single" w:sz="4" w:space="0" w:color="000000"/>
              <w:bottom w:val="single" w:sz="4" w:space="0" w:color="000000"/>
              <w:end w:val="single" w:sz="4" w:space="0" w:color="000000"/>
            </w:tcBorders>
          </w:tcPr>
          <w:p>
            <w:pPr>
              <w:pStyle w:val="Normal"/>
              <w:rPr/>
            </w:pPr>
            <w:r>
              <w:rPr>
                <w:color w:val="000000"/>
                <w:sz w:val="20"/>
                <w:szCs w:val="20"/>
              </w:rPr>
              <w:t>Estudiar la deserción estudiantil.</w:t>
            </w:r>
          </w:p>
        </w:tc>
        <w:tc>
          <w:tcPr>
            <w:tcW w:w="4160" w:type="dxa"/>
            <w:tcBorders>
              <w:top w:val="single" w:sz="4" w:space="0" w:color="000000"/>
              <w:start w:val="single" w:sz="4" w:space="0" w:color="000000"/>
              <w:bottom w:val="single" w:sz="4" w:space="0" w:color="000000"/>
              <w:end w:val="single" w:sz="4" w:space="0" w:color="000000"/>
            </w:tcBorders>
          </w:tcPr>
          <w:p>
            <w:pPr>
              <w:pStyle w:val="Normal"/>
              <w:rPr/>
            </w:pPr>
            <w:r>
              <w:rPr>
                <w:color w:val="000000"/>
                <w:sz w:val="20"/>
                <w:szCs w:val="20"/>
              </w:rPr>
              <w:t>¿Qué estudiantes tienen mayor riesgo de perder el semestre, para poder intervenir a tiempo?</w:t>
            </w:r>
          </w:p>
        </w:tc>
      </w:tr>
      <w:tr>
        <w:trPr/>
        <w:tc>
          <w:tcPr>
            <w:tcW w:w="1598" w:type="dxa"/>
            <w:tcBorders>
              <w:top w:val="single" w:sz="4" w:space="0" w:color="000000"/>
              <w:start w:val="single" w:sz="4" w:space="0" w:color="000000"/>
              <w:bottom w:val="single" w:sz="4" w:space="0" w:color="000000"/>
              <w:end w:val="single" w:sz="4" w:space="0" w:color="000000"/>
            </w:tcBorders>
          </w:tcPr>
          <w:p>
            <w:pPr>
              <w:pStyle w:val="Normal"/>
              <w:rPr/>
            </w:pPr>
            <w:r>
              <w:rPr>
                <w:color w:val="000000"/>
                <w:sz w:val="20"/>
                <w:szCs w:val="20"/>
              </w:rPr>
              <w:t>Salud</w:t>
            </w:r>
          </w:p>
        </w:tc>
        <w:tc>
          <w:tcPr>
            <w:tcW w:w="3602" w:type="dxa"/>
            <w:tcBorders>
              <w:top w:val="single" w:sz="4" w:space="0" w:color="000000"/>
              <w:start w:val="single" w:sz="4" w:space="0" w:color="000000"/>
              <w:bottom w:val="single" w:sz="4" w:space="0" w:color="000000"/>
              <w:end w:val="single" w:sz="4" w:space="0" w:color="000000"/>
            </w:tcBorders>
          </w:tcPr>
          <w:p>
            <w:pPr>
              <w:pStyle w:val="Normal"/>
              <w:rPr/>
            </w:pPr>
            <w:r>
              <w:rPr>
                <w:color w:val="000000"/>
                <w:sz w:val="20"/>
                <w:szCs w:val="20"/>
              </w:rPr>
              <w:t>Ver los datos de pacientes.</w:t>
            </w:r>
          </w:p>
        </w:tc>
        <w:tc>
          <w:tcPr>
            <w:tcW w:w="4160" w:type="dxa"/>
            <w:tcBorders>
              <w:top w:val="single" w:sz="4" w:space="0" w:color="000000"/>
              <w:start w:val="single" w:sz="4" w:space="0" w:color="000000"/>
              <w:bottom w:val="single" w:sz="4" w:space="0" w:color="000000"/>
              <w:end w:val="single" w:sz="4" w:space="0" w:color="000000"/>
            </w:tcBorders>
          </w:tcPr>
          <w:p>
            <w:pPr>
              <w:pStyle w:val="Normal"/>
              <w:rPr/>
            </w:pPr>
            <w:r>
              <w:rPr>
                <w:color w:val="000000"/>
                <w:sz w:val="20"/>
                <w:szCs w:val="20"/>
              </w:rPr>
              <w:t>¿Qué pacientes tienen mayor riesgo de no volver a su control médico, para poder llamarlos antes?</w:t>
            </w:r>
          </w:p>
        </w:tc>
      </w:tr>
      <w:tr>
        <w:trPr/>
        <w:tc>
          <w:tcPr>
            <w:tcW w:w="1598" w:type="dxa"/>
            <w:tcBorders>
              <w:top w:val="single" w:sz="4" w:space="0" w:color="000000"/>
              <w:start w:val="single" w:sz="4" w:space="0" w:color="000000"/>
              <w:bottom w:val="single" w:sz="4" w:space="0" w:color="000000"/>
              <w:end w:val="single" w:sz="4" w:space="0" w:color="000000"/>
            </w:tcBorders>
          </w:tcPr>
          <w:p>
            <w:pPr>
              <w:pStyle w:val="Normal"/>
              <w:rPr/>
            </w:pPr>
            <w:r>
              <w:rPr>
                <w:color w:val="000000"/>
                <w:sz w:val="20"/>
                <w:szCs w:val="20"/>
              </w:rPr>
              <w:t>Movilidad</w:t>
            </w:r>
          </w:p>
        </w:tc>
        <w:tc>
          <w:tcPr>
            <w:tcW w:w="3602" w:type="dxa"/>
            <w:tcBorders>
              <w:top w:val="single" w:sz="4" w:space="0" w:color="000000"/>
              <w:start w:val="single" w:sz="4" w:space="0" w:color="000000"/>
              <w:bottom w:val="single" w:sz="4" w:space="0" w:color="000000"/>
              <w:end w:val="single" w:sz="4" w:space="0" w:color="000000"/>
            </w:tcBorders>
          </w:tcPr>
          <w:p>
            <w:pPr>
              <w:pStyle w:val="Normal"/>
              <w:rPr/>
            </w:pPr>
            <w:r>
              <w:rPr>
                <w:color w:val="000000"/>
                <w:sz w:val="20"/>
                <w:szCs w:val="20"/>
              </w:rPr>
              <w:t>Ver accidentes de tránsito.</w:t>
            </w:r>
          </w:p>
        </w:tc>
        <w:tc>
          <w:tcPr>
            <w:tcW w:w="4160" w:type="dxa"/>
            <w:tcBorders>
              <w:top w:val="single" w:sz="4" w:space="0" w:color="000000"/>
              <w:start w:val="single" w:sz="4" w:space="0" w:color="000000"/>
              <w:bottom w:val="single" w:sz="4" w:space="0" w:color="000000"/>
              <w:end w:val="single" w:sz="4" w:space="0" w:color="000000"/>
            </w:tcBorders>
          </w:tcPr>
          <w:p>
            <w:pPr>
              <w:pStyle w:val="Normal"/>
              <w:rPr/>
            </w:pPr>
            <w:r>
              <w:rPr>
                <w:color w:val="000000"/>
                <w:sz w:val="20"/>
                <w:szCs w:val="20"/>
              </w:rPr>
              <w:t>¿Qué sectores y horarios concentran más siniestros viales, para priorizar intervención?</w:t>
            </w:r>
          </w:p>
        </w:tc>
      </w:tr>
    </w:tbl>
    <w:p>
      <w:pPr>
        <w:pStyle w:val="Normal"/>
        <w:spacing w:before="100" w:after="6"/>
        <w:rPr/>
      </w:pPr>
      <w:r>
        <w:rPr>
          <w:b/>
          <w:bCs/>
        </w:rPr>
        <w:t>Su objetivo:</w:t>
      </w:r>
    </w:p>
    <w:p>
      <w:pPr>
        <w:pStyle w:val="Normal"/>
        <w:spacing w:before="0" w:after="8"/>
        <w:rPr/>
      </w:pPr>
      <w:r>
        <w:rPr>
          <w:i/>
          <w:iCs/>
          <w:color w:val="666666"/>
          <w:sz w:val="20"/>
          <w:szCs w:val="20"/>
        </w:rPr>
        <w:t>Escríbanlo como pregunta, no como tema.</w:t>
      </w:r>
    </w:p>
    <w:tbl>
      <w:tblPr>
        <w:tblW w:w="9360" w:type="dxa"/>
        <w:jc w:val="start"/>
        <w:tblInd w:w="0" w:type="dxa"/>
        <w:tblLayout w:type="fixed"/>
        <w:tblCellMar>
          <w:top w:w="200" w:type="dxa"/>
          <w:start w:w="100" w:type="dxa"/>
          <w:bottom w:w="200" w:type="dxa"/>
          <w:end w:w="100" w:type="dxa"/>
        </w:tblCellMar>
        <w:tblLook w:val="04a0" w:firstRow="1" w:noVBand="1" w:lastRow="0" w:firstColumn="1" w:lastColumn="0" w:noHBand="0"/>
      </w:tblPr>
      <w:tblGrid>
        <w:gridCol w:w="9360"/>
      </w:tblGrid>
      <w:tr>
        <w:trPr/>
        <w:tc>
          <w:tcPr>
            <w:tcW w:w="936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40"/>
              <w:jc w:val="both"/>
              <w:rPr/>
            </w:pPr>
            <w:r>
              <w:rPr/>
              <w:t>¿En qué sectores viales críticos del país y bajo qué condiciones (departamento, tipo de actor vial y periodo del año) se concentra la mayor cantidad de personas fallecidas en siniestros viales, para que el Observatorio Nacional de Seguridad Vial de la ANSV y las secretarías de tránsito departamentales decidan cuáles corredores intervenir primero en el próximo plan de seguridad vial?</w:t>
            </w:r>
          </w:p>
          <w:p>
            <w:pPr>
              <w:pStyle w:val="Normal"/>
              <w:spacing w:lineRule="auto" w:line="252" w:before="0" w:after="40"/>
              <w:ind w:start="220"/>
              <w:jc w:val="both"/>
              <w:rPr/>
            </w:pPr>
            <w:r>
              <w:rPr>
                <w:b/>
                <w:bCs/>
              </w:rPr>
              <w:t>Quién decide distinto según la respuesta:</w:t>
            </w:r>
            <w:r>
              <w:rPr/>
              <w:t xml:space="preserve"> el equipo del Observatorio Nacional de Seguridad Vial (ANSV), que define la lista de corredores priorizados, y los secretarios de tránsito departamentales/municipales, que asignan el presupuesto de señalización, reductores de velocidad y operativos de control.</w:t>
            </w:r>
          </w:p>
          <w:p>
            <w:pPr>
              <w:pStyle w:val="Normal"/>
              <w:spacing w:lineRule="auto" w:line="252" w:before="0" w:after="0"/>
              <w:ind w:start="220"/>
              <w:jc w:val="both"/>
              <w:rPr/>
            </w:pPr>
            <w:r>
              <w:rPr>
                <w:b/>
                <w:bCs/>
              </w:rPr>
              <w:t>Acción concreta que se toma con el resultado:</w:t>
            </w:r>
            <w:r>
              <w:rPr/>
              <w:t xml:space="preserve"> ordenar un ranking corto de sectores críticos y asignarle a cada uno el tipo de intervención que corresponde a su perfil de víctima (por ejemplo: separador y control de velocidad donde predomina el motociclista; pasos peatonales e iluminación donde predomina el peatón).</w:t>
            </w:r>
          </w:p>
        </w:tc>
      </w:tr>
    </w:tbl>
    <w:p>
      <w:pPr>
        <w:pStyle w:val="Heading1"/>
        <w:spacing w:before="320" w:after="120"/>
        <w:rPr>
          <w:b/>
          <w:bCs/>
          <w:color w:themeColor="text1" w:val="000000"/>
        </w:rPr>
      </w:pPr>
      <w:r>
        <w:rPr>
          <w:b/>
          <w:bCs/>
          <w:color w:themeColor="text1" w:val="000000"/>
        </w:rPr>
        <w:t>2. Alcance</w:t>
      </w:r>
    </w:p>
    <w:p>
      <w:pPr>
        <w:pStyle w:val="Normal"/>
        <w:spacing w:before="0" w:after="110"/>
        <w:rPr/>
      </w:pPr>
      <w:r>
        <w:rPr/>
        <w:t>Qué sí y qué no cubre el proyecto este semestre.</w:t>
      </w:r>
    </w:p>
    <w:p>
      <w:pPr>
        <w:pStyle w:val="Heading3"/>
        <w:spacing w:before="150" w:after="60"/>
        <w:rPr>
          <w:b/>
          <w:bCs/>
          <w:color w:themeColor="text1" w:val="000000"/>
        </w:rPr>
      </w:pPr>
      <w:r>
        <w:rPr>
          <w:b/>
          <w:bCs/>
          <w:color w:themeColor="text1" w:val="000000"/>
        </w:rPr>
        <w:t>Preguntas orientadoras</w:t>
      </w:r>
    </w:p>
    <w:p>
      <w:pPr>
        <w:pStyle w:val="ListParagraph"/>
        <w:numPr>
          <w:ilvl w:val="0"/>
          <w:numId w:val="2"/>
        </w:numPr>
        <w:spacing w:before="0" w:after="40"/>
        <w:rPr/>
      </w:pPr>
      <w:r>
        <w:rPr/>
        <w:t>¿De qué periodo son los datos que van a usar? (ej: un año, un semestre, un mes)</w:t>
      </w:r>
    </w:p>
    <w:p>
      <w:pPr>
        <w:pStyle w:val="ListParagraph"/>
        <w:numPr>
          <w:ilvl w:val="0"/>
          <w:numId w:val="2"/>
        </w:numPr>
        <w:spacing w:before="0" w:after="40"/>
        <w:rPr/>
      </w:pPr>
      <w:r>
        <w:rPr/>
        <w:t>¿Qué población, zona o categoría cubre? ¿Y cuál queda explícitamente por fuera?</w:t>
      </w:r>
    </w:p>
    <w:p>
      <w:pPr>
        <w:pStyle w:val="ListParagraph"/>
        <w:numPr>
          <w:ilvl w:val="0"/>
          <w:numId w:val="2"/>
        </w:numPr>
        <w:spacing w:before="0" w:after="40"/>
        <w:rPr/>
      </w:pPr>
      <w:r>
        <w:rPr/>
        <w:t>¿El proyecto es descriptivo (explicar lo que pasó) o también predictivo (anticipar lo que va a pasar)?</w:t>
      </w:r>
    </w:p>
    <w:p>
      <w:pPr>
        <w:pStyle w:val="Normal"/>
        <w:spacing w:before="0" w:after="110"/>
        <w:rPr/>
      </w:pPr>
      <w:r>
        <w:rPr>
          <w:i/>
          <w:iCs/>
          <w:color w:val="555555"/>
        </w:rPr>
        <w:t>Plantilla: "Este proyecto analiza [qué datos / de qué periodo / de qué población], y NO cubre [qué queda por fuera]."</w:t>
      </w:r>
    </w:p>
    <w:p>
      <w:pPr>
        <w:pStyle w:val="Normal"/>
        <w:spacing w:before="100" w:after="6"/>
        <w:rPr/>
      </w:pPr>
      <w:r>
        <w:rPr>
          <w:b/>
          <w:bCs/>
        </w:rPr>
        <w:t>Su alcance:</w:t>
      </w:r>
    </w:p>
    <w:tbl>
      <w:tblPr>
        <w:tblW w:w="9360" w:type="dxa"/>
        <w:jc w:val="start"/>
        <w:tblInd w:w="0" w:type="dxa"/>
        <w:tblLayout w:type="fixed"/>
        <w:tblCellMar>
          <w:top w:w="200" w:type="dxa"/>
          <w:start w:w="100" w:type="dxa"/>
          <w:bottom w:w="200" w:type="dxa"/>
          <w:end w:w="100" w:type="dxa"/>
        </w:tblCellMar>
        <w:tblLook w:val="04a0" w:firstRow="1" w:noVBand="1" w:lastRow="0" w:firstColumn="1" w:lastColumn="0" w:noHBand="0"/>
      </w:tblPr>
      <w:tblGrid>
        <w:gridCol w:w="9360"/>
      </w:tblGrid>
      <w:tr>
        <w:trPr/>
        <w:tc>
          <w:tcPr>
            <w:tcW w:w="936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40"/>
              <w:jc w:val="both"/>
              <w:rPr/>
            </w:pPr>
            <w:r>
              <w:rPr/>
              <w:t>Este proyecto analiza los sectores críticos de siniestralidad vial publicados en Datos Abiertos Colombia y las cifras de personas fallecidas en siniestros viales del Observatorio de la ANSV, para el territorio colombiano, en el periodo de años cerrados más reciente que esté disponible en ambas fuentes.el análisis se desagrega por tipo de actor vial (motociclista, peatón, ciclista, ocupante de vehículo) y por corredor o tramo vial.</w:t>
            </w:r>
          </w:p>
          <w:p>
            <w:pPr>
              <w:pStyle w:val="Normal"/>
              <w:spacing w:lineRule="auto" w:line="252" w:before="0" w:after="40"/>
              <w:jc w:val="both"/>
              <w:rPr/>
            </w:pPr>
            <w:r>
              <w:rPr>
                <w:b/>
                <w:bCs/>
              </w:rPr>
              <w:t>El proyecto es descriptivo y diagnóstico:</w:t>
            </w:r>
            <w:r>
              <w:rPr/>
              <w:t xml:space="preserve"> caracterización, ranking y agrupamiento (clustering) de sectores críticos según su perfil de víctimas. Solo de forma exploratoria se revisará la tendencia temporal por departamento; </w:t>
            </w:r>
            <w:r>
              <w:rPr>
                <w:b/>
                <w:bCs/>
              </w:rPr>
              <w:t>no se construirá un modelo predictivo de riesgo individual de personas</w:t>
            </w:r>
            <w:r>
              <w:rPr/>
              <w:t>.</w:t>
            </w:r>
          </w:p>
          <w:p>
            <w:pPr>
              <w:pStyle w:val="Normal"/>
              <w:spacing w:lineRule="auto" w:line="252" w:before="0" w:after="40"/>
              <w:jc w:val="both"/>
              <w:rPr/>
            </w:pPr>
            <w:r>
              <w:rPr>
                <w:b/>
                <w:bCs/>
              </w:rPr>
              <w:t>NO cubre:</w:t>
            </w:r>
          </w:p>
          <w:p>
            <w:pPr>
              <w:pStyle w:val="Normal"/>
              <w:spacing w:lineRule="auto" w:line="252" w:before="0" w:after="40"/>
              <w:ind w:start="220"/>
              <w:jc w:val="both"/>
              <w:rPr/>
            </w:pPr>
            <w:r>
              <w:rPr/>
              <w:t xml:space="preserve">– </w:t>
            </w:r>
            <w:r>
              <w:rPr/>
              <w:t>Siniestros sin víctimas fatales (solo heridos o solo daños materiales), salvo como variable de contexto si la fuente 1 los reporta.</w:t>
            </w:r>
          </w:p>
          <w:p>
            <w:pPr>
              <w:pStyle w:val="Normal"/>
              <w:spacing w:lineRule="auto" w:line="252" w:before="0" w:after="40"/>
              <w:ind w:start="220"/>
              <w:jc w:val="both"/>
              <w:rPr/>
            </w:pPr>
            <w:r>
              <w:rPr/>
              <w:t xml:space="preserve">– </w:t>
            </w:r>
            <w:r>
              <w:rPr/>
              <w:t>Las causas individuales del siniestro (alcohol, velocidad, distracción, estado mecánico), porque no están disponibles en estas dos fuentes.</w:t>
            </w:r>
          </w:p>
          <w:p>
            <w:pPr>
              <w:pStyle w:val="Normal"/>
              <w:spacing w:lineRule="auto" w:line="252" w:before="0" w:after="40"/>
              <w:ind w:start="220"/>
              <w:jc w:val="both"/>
              <w:rPr/>
            </w:pPr>
            <w:r>
              <w:rPr/>
              <w:t xml:space="preserve">– </w:t>
            </w:r>
            <w:r>
              <w:rPr/>
              <w:t>Datos personales identificables de las víctimas: se trabaja únicamente con agregados.</w:t>
            </w:r>
          </w:p>
          <w:p>
            <w:pPr>
              <w:pStyle w:val="Normal"/>
              <w:spacing w:lineRule="auto" w:line="252" w:before="0" w:after="40"/>
              <w:ind w:start="220"/>
              <w:jc w:val="both"/>
              <w:rPr/>
            </w:pPr>
            <w:r>
              <w:rPr/>
              <w:t xml:space="preserve">– </w:t>
            </w:r>
            <w:r>
              <w:rPr/>
              <w:t>Tasas por exposición (fallecidos por cada 100.000 habitantes o por volumen de tránsito), salvo que se consiga una fuente auxiliar de población o TPD; el análisis base es sobre conteos absolutos.</w:t>
            </w:r>
          </w:p>
          <w:p>
            <w:pPr>
              <w:pStyle w:val="Normal"/>
              <w:spacing w:lineRule="auto" w:line="252" w:before="0" w:after="40"/>
              <w:ind w:start="220"/>
              <w:jc w:val="both"/>
              <w:rPr/>
            </w:pPr>
            <w:r>
              <w:rPr/>
              <w:t xml:space="preserve">– </w:t>
            </w:r>
            <w:r>
              <w:rPr/>
              <w:t>El año en curso y los meses con cifras preliminares aún sujetas a revisión.</w:t>
            </w:r>
          </w:p>
          <w:p>
            <w:pPr>
              <w:pStyle w:val="Normal"/>
              <w:spacing w:lineRule="auto" w:line="252" w:before="0" w:after="0"/>
              <w:ind w:start="220"/>
              <w:jc w:val="both"/>
              <w:rPr/>
            </w:pPr>
            <w:r>
              <w:rPr/>
              <w:t xml:space="preserve">– </w:t>
            </w:r>
            <w:r>
              <w:rPr/>
              <w:t>Otros países, vías privadas y el análisis de costos económicos o de atención hospitalaria de las víctimas.</w:t>
            </w:r>
          </w:p>
        </w:tc>
      </w:tr>
    </w:tbl>
    <w:p>
      <w:pPr>
        <w:pStyle w:val="Heading1"/>
        <w:spacing w:before="320" w:after="120"/>
        <w:rPr>
          <w:b/>
          <w:bCs/>
          <w:color w:themeColor="text1" w:val="000000"/>
        </w:rPr>
      </w:pPr>
      <w:r>
        <w:rPr>
          <w:b/>
          <w:bCs/>
          <w:color w:themeColor="text1" w:val="000000"/>
        </w:rPr>
        <w:t>3. Hipótesis inicial</w:t>
      </w:r>
    </w:p>
    <w:p>
      <w:pPr>
        <w:pStyle w:val="Normal"/>
        <w:spacing w:before="0" w:after="110"/>
        <w:rPr/>
      </w:pPr>
      <w:r>
        <w:rPr/>
        <w:t>Lo que creen que explica o predice el problema, antes de ver los datos a fondo. No tiene que ser cierta.</w:t>
      </w:r>
    </w:p>
    <w:p>
      <w:pPr>
        <w:pStyle w:val="Heading3"/>
        <w:spacing w:before="150" w:after="60"/>
        <w:rPr>
          <w:color w:themeColor="text1" w:val="000000"/>
        </w:rPr>
      </w:pPr>
      <w:r>
        <w:rPr>
          <w:color w:themeColor="text1" w:val="000000"/>
        </w:rPr>
        <w:t>Preguntas orientadoras</w:t>
      </w:r>
    </w:p>
    <w:p>
      <w:pPr>
        <w:pStyle w:val="ListParagraph"/>
        <w:numPr>
          <w:ilvl w:val="0"/>
          <w:numId w:val="2"/>
        </w:numPr>
        <w:spacing w:before="0" w:after="40"/>
        <w:rPr/>
      </w:pPr>
      <w:r>
        <w:rPr/>
        <w:t>Por su experiencia o sentido común, ¿qué factor creen que más influye en el problema?</w:t>
      </w:r>
    </w:p>
    <w:p>
      <w:pPr>
        <w:pStyle w:val="ListParagraph"/>
        <w:numPr>
          <w:ilvl w:val="0"/>
          <w:numId w:val="2"/>
        </w:numPr>
        <w:spacing w:before="0" w:after="40"/>
        <w:rPr/>
      </w:pPr>
      <w:r>
        <w:rPr/>
        <w:t>¿Por qué creen que ese factor influye? (el 'porqué' es lo que convierte una corazonada en una hipótesis)</w:t>
      </w:r>
    </w:p>
    <w:p>
      <w:pPr>
        <w:pStyle w:val="Normal"/>
        <w:spacing w:before="0" w:after="110"/>
        <w:rPr/>
      </w:pPr>
      <w:r>
        <w:rPr>
          <w:i/>
          <w:iCs/>
          <w:color w:val="555555"/>
        </w:rPr>
        <w:t>Plantilla: "Creo que ___ está relacionado con ___, porque ___."</w:t>
      </w:r>
    </w:p>
    <w:p>
      <w:pPr>
        <w:pStyle w:val="Normal"/>
        <w:spacing w:before="100" w:after="6"/>
        <w:rPr/>
      </w:pPr>
      <w:r>
        <w:rPr>
          <w:b/>
          <w:bCs/>
        </w:rPr>
        <w:t>Su hipótesis inicial:</w:t>
      </w:r>
    </w:p>
    <w:tbl>
      <w:tblPr>
        <w:tblW w:w="9360" w:type="dxa"/>
        <w:jc w:val="start"/>
        <w:tblInd w:w="0" w:type="dxa"/>
        <w:tblLayout w:type="fixed"/>
        <w:tblCellMar>
          <w:top w:w="200" w:type="dxa"/>
          <w:start w:w="100" w:type="dxa"/>
          <w:bottom w:w="200" w:type="dxa"/>
          <w:end w:w="100" w:type="dxa"/>
        </w:tblCellMar>
        <w:tblLook w:val="04a0" w:firstRow="1" w:noVBand="1" w:lastRow="0" w:firstColumn="1" w:lastColumn="0" w:noHBand="0"/>
      </w:tblPr>
      <w:tblGrid>
        <w:gridCol w:w="9360"/>
      </w:tblGrid>
      <w:tr>
        <w:trPr/>
        <w:tc>
          <w:tcPr>
            <w:tcW w:w="936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40"/>
              <w:jc w:val="both"/>
              <w:rPr/>
            </w:pPr>
            <w:r>
              <w:rPr>
                <w:b/>
                <w:bCs/>
              </w:rPr>
              <w:t>Hipótesis principal:</w:t>
            </w:r>
            <w:r>
              <w:rPr/>
              <w:t xml:space="preserve"> creo que las personas fallecidas en siniestros viales no se distribuyen de forma pareja por el territorio, sino que se concentran en un número reducido de corredores y departamentos, </w:t>
            </w:r>
            <w:r>
              <w:rPr>
                <w:b/>
                <w:bCs/>
              </w:rPr>
              <w:t>porque</w:t>
            </w:r>
            <w:r>
              <w:rPr/>
              <w:t xml:space="preserve"> la siniestralidad grave depende sobre todo de la combinación de alta velocidad de operación con tráfico mixto y sin separación física (motos, peatones y vehículos pesados compartiendo la misma calzada), y esa combinación solo se da en ciertos tramos de la red vial.</w:t>
            </w:r>
          </w:p>
          <w:p>
            <w:pPr>
              <w:pStyle w:val="Normal"/>
              <w:spacing w:lineRule="auto" w:line="252" w:before="0" w:after="40"/>
              <w:jc w:val="both"/>
              <w:rPr/>
            </w:pPr>
            <w:r>
              <w:rPr>
                <w:b/>
                <w:bCs/>
              </w:rPr>
              <w:t>Hipótesis secundaria 1:</w:t>
            </w:r>
            <w:r>
              <w:rPr/>
              <w:t xml:space="preserve"> creo que el motociclista es el actor vial más frecuente entre los fallecidos, y que su peso es aún mayor en los sectores críticos que en el promedio nacional, </w:t>
            </w:r>
            <w:r>
              <w:rPr>
                <w:b/>
                <w:bCs/>
              </w:rPr>
              <w:t>porque</w:t>
            </w:r>
            <w:r>
              <w:rPr/>
              <w:t xml:space="preserve"> la moto es el vehículo que más ha crecido en el parque automotor y porque el motociclista carece de carrocería que absorba la energía del impacto.</w:t>
            </w:r>
          </w:p>
          <w:p>
            <w:pPr>
              <w:pStyle w:val="Normal"/>
              <w:spacing w:lineRule="auto" w:line="252" w:before="0" w:after="0"/>
              <w:jc w:val="both"/>
              <w:rPr/>
            </w:pPr>
            <w:r>
              <w:rPr>
                <w:b/>
                <w:bCs/>
              </w:rPr>
              <w:t>Hipótesis secundaria 2:</w:t>
            </w:r>
            <w:r>
              <w:rPr/>
              <w:t xml:space="preserve"> creo que el perfil de víctima cambia según el tipo de sector —peatones en tramos urbanos o de paso por cabecera municipal, motociclistas y ocupantes en tramos rurales de carretera—, </w:t>
            </w:r>
            <w:r>
              <w:rPr>
                <w:b/>
                <w:bCs/>
              </w:rPr>
              <w:t>porque</w:t>
            </w:r>
            <w:r>
              <w:rPr/>
              <w:t xml:space="preserve"> cada entorno vial expone a un actor distinto; si esto se confirma, la intervención recomendada no puede ser la misma para todos los corredores del ranking. [NOTA de verificación preliminar con la Fuente 2 nacional: el patrón peatón→urbano sí se confirma (14.055 fallecidos urbanos vs. 4.125 rurales), pero motociclista NO es predominantemente rural: hay más motociclistas fallecidos en zona urbana (24.171) que en zona rural (19.015). La hipótesis debería ajustarse a "el peso relativo del motociclista es mayor en zonas rurales" en vez de "los motociclistas mueren en zonas rurales", porque en términos absolutos mueren más motociclistas en ciudad.]</w:t>
            </w:r>
          </w:p>
        </w:tc>
      </w:tr>
    </w:tbl>
    <w:p>
      <w:pPr>
        <w:pStyle w:val="Heading1"/>
        <w:spacing w:before="320" w:after="120"/>
        <w:rPr>
          <w:b/>
          <w:bCs/>
          <w:color w:themeColor="text1" w:val="000000"/>
        </w:rPr>
      </w:pPr>
      <w:r>
        <w:rPr>
          <w:b/>
          <w:bCs/>
          <w:color w:themeColor="text1" w:val="000000"/>
        </w:rPr>
        <w:t>4. Indicadores de éxito</w:t>
      </w:r>
    </w:p>
    <w:p>
      <w:pPr>
        <w:pStyle w:val="Normal"/>
        <w:spacing w:before="0" w:after="110"/>
        <w:rPr/>
      </w:pPr>
      <w:r>
        <w:rPr/>
        <w:t>Cómo van a saber, al final, si el proyecto realmente respondió la pregunta. No es la nota de la clase.</w:t>
      </w:r>
    </w:p>
    <w:p>
      <w:pPr>
        <w:pStyle w:val="Heading3"/>
        <w:spacing w:before="150" w:after="60"/>
        <w:rPr>
          <w:color w:themeColor="text1" w:val="000000"/>
        </w:rPr>
      </w:pPr>
      <w:r>
        <w:rPr>
          <w:color w:themeColor="text1" w:val="000000"/>
        </w:rPr>
        <w:t>Preguntas orientadoras</w:t>
      </w:r>
    </w:p>
    <w:p>
      <w:pPr>
        <w:pStyle w:val="ListParagraph"/>
        <w:numPr>
          <w:ilvl w:val="0"/>
          <w:numId w:val="2"/>
        </w:numPr>
        <w:spacing w:before="0" w:after="40"/>
        <w:rPr/>
      </w:pPr>
      <w:r>
        <w:rPr/>
        <w:t>¿Qué resultado concreto los dejaría satisfechos con el análisis? (ej: encontrar X segmentos, lograr que el modelo acierte razonablemente)</w:t>
      </w:r>
    </w:p>
    <w:p>
      <w:pPr>
        <w:pStyle w:val="ListParagraph"/>
        <w:numPr>
          <w:ilvl w:val="0"/>
          <w:numId w:val="2"/>
        </w:numPr>
        <w:spacing w:before="0" w:after="40"/>
        <w:rPr/>
      </w:pPr>
      <w:r>
        <w:rPr/>
        <w:t>¿Cómo van a saber si encontraron algo realmente útil y no solo un número curioso?</w:t>
      </w:r>
    </w:p>
    <w:p>
      <w:pPr>
        <w:pStyle w:val="Normal"/>
        <w:spacing w:before="100" w:after="6"/>
        <w:rPr/>
      </w:pPr>
      <w:r>
        <w:rPr>
          <w:b/>
          <w:bCs/>
        </w:rPr>
        <w:t>Sus indicadores de éxito:</w:t>
      </w:r>
    </w:p>
    <w:tbl>
      <w:tblPr>
        <w:tblW w:w="9360" w:type="dxa"/>
        <w:jc w:val="start"/>
        <w:tblInd w:w="0" w:type="dxa"/>
        <w:tblLayout w:type="fixed"/>
        <w:tblCellMar>
          <w:top w:w="200" w:type="dxa"/>
          <w:start w:w="100" w:type="dxa"/>
          <w:bottom w:w="200" w:type="dxa"/>
          <w:end w:w="100" w:type="dxa"/>
        </w:tblCellMar>
        <w:tblLook w:val="04a0" w:firstRow="1" w:noVBand="1" w:lastRow="0" w:firstColumn="1" w:lastColumn="0" w:noHBand="0"/>
      </w:tblPr>
      <w:tblGrid>
        <w:gridCol w:w="9360"/>
      </w:tblGrid>
      <w:tr>
        <w:trPr/>
        <w:tc>
          <w:tcPr>
            <w:tcW w:w="936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40"/>
              <w:jc w:val="both"/>
              <w:rPr/>
            </w:pPr>
            <w:r>
              <w:rPr>
                <w:b/>
                <w:bCs/>
              </w:rPr>
              <w:t>1. Integración lograda:</w:t>
            </w:r>
            <w:r>
              <w:rPr/>
              <w:t xml:space="preserve"> conseguir una tabla unificada de las dos fuentes con llave departamento–municipio–año, con al menos el 90% de los registros emparejados, y dejar documentada en el notebook la lista de registros que no cruzaron y por qué.</w:t>
            </w:r>
          </w:p>
          <w:p>
            <w:pPr>
              <w:pStyle w:val="Normal"/>
              <w:spacing w:lineRule="auto" w:line="252" w:before="0" w:after="40"/>
              <w:jc w:val="both"/>
              <w:rPr/>
            </w:pPr>
            <w:r>
              <w:rPr>
                <w:b/>
                <w:bCs/>
              </w:rPr>
              <w:t>2. Concentración medida (prueba de la hipótesis principal):</w:t>
            </w:r>
            <w:r>
              <w:rPr/>
              <w:t xml:space="preserve"> verificar si los 20 sectores críticos con más víctimas concentran al menos el 30% de los fallecidos del periodo. El éxito es tener el número calculado y sustentado, se confirme o no la hipótesis.</w:t>
            </w:r>
          </w:p>
          <w:p>
            <w:pPr>
              <w:pStyle w:val="Normal"/>
              <w:spacing w:lineRule="auto" w:line="252" w:before="0" w:after="40"/>
              <w:jc w:val="both"/>
              <w:rPr/>
            </w:pPr>
            <w:r>
              <w:rPr>
                <w:b/>
                <w:bCs/>
              </w:rPr>
              <w:t>3. Perfiles diferenciados:</w:t>
            </w:r>
            <w:r>
              <w:rPr/>
              <w:t xml:space="preserve"> obtener al menos 3 grupos de sectores críticos claramente distintos entre sí por actor vial predominante y entorno (urbano/rural), con la composición porcentual de cada grupo reportada.</w:t>
            </w:r>
          </w:p>
          <w:p>
            <w:pPr>
              <w:pStyle w:val="Normal"/>
              <w:spacing w:lineRule="auto" w:line="252" w:before="0" w:after="40"/>
              <w:jc w:val="both"/>
              <w:rPr/>
            </w:pPr>
            <w:r>
              <w:rPr>
                <w:b/>
                <w:bCs/>
              </w:rPr>
              <w:t>4. Producto accionable:</w:t>
            </w:r>
            <w:r>
              <w:rPr/>
              <w:t xml:space="preserve"> entregar un ranking de los 10 corredores prioritarios con una recomendación de intervención asociada a cada uno. </w:t>
            </w:r>
            <w:r>
              <w:rPr>
                <w:b/>
                <w:bCs/>
              </w:rPr>
              <w:t>Prueba de utilidad:</w:t>
            </w:r>
            <w:r>
              <w:rPr/>
              <w:t xml:space="preserve"> que una persona externa al equipo pueda leer la tabla final y decir por cuál corredor empezaría, sin necesidad de que le expliquemos el análisis.</w:t>
            </w:r>
          </w:p>
          <w:p>
            <w:pPr>
              <w:pStyle w:val="Normal"/>
              <w:spacing w:lineRule="auto" w:line="252" w:before="0" w:after="40"/>
              <w:jc w:val="both"/>
              <w:rPr/>
            </w:pPr>
            <w:r>
              <w:rPr>
                <w:b/>
                <w:bCs/>
              </w:rPr>
              <w:t>5. Filtro contra el 'número curioso':</w:t>
            </w:r>
            <w:r>
              <w:rPr/>
              <w:t xml:space="preserve"> un sector solo se reporta como crítico si aparece en el grupo de mayor siniestralidad en al menos dos años del periodo. Si un sector aparece en un solo año, se trata como posible evento atípico y se marca como tal, no como prioridad.</w:t>
            </w:r>
          </w:p>
          <w:p>
            <w:pPr>
              <w:pStyle w:val="Normal"/>
              <w:spacing w:lineRule="auto" w:line="252" w:before="0" w:after="0"/>
              <w:jc w:val="both"/>
              <w:rPr/>
            </w:pPr>
            <w:r>
              <w:rPr>
                <w:b/>
                <w:bCs/>
              </w:rPr>
              <w:t>6. Reproducibilidad:</w:t>
            </w:r>
            <w:r>
              <w:rPr/>
              <w:t xml:space="preserve"> que el notebook corra de principio a fin desde los archivos guardados en /data y reproduzca todas las cifras del informe sin pasos manuales.</w:t>
            </w:r>
          </w:p>
        </w:tc>
      </w:tr>
    </w:tbl>
    <w:p>
      <w:pPr>
        <w:pStyle w:val="Heading1"/>
        <w:spacing w:before="320" w:after="120"/>
        <w:rPr>
          <w:b/>
          <w:bCs/>
          <w:color w:themeColor="text1" w:val="000000"/>
        </w:rPr>
      </w:pPr>
      <w:r>
        <w:rPr>
          <w:b/>
          <w:bCs/>
          <w:color w:themeColor="text1" w:val="000000"/>
        </w:rPr>
        <w:t>5. Fuentes de datos</w:t>
      </w:r>
    </w:p>
    <w:p>
      <w:pPr>
        <w:pStyle w:val="Normal"/>
        <w:spacing w:before="0" w:after="110"/>
        <w:rPr/>
      </w:pPr>
      <w:r>
        <w:rPr/>
        <w:t>Mínimo 2 fuentes, exigidas por el proyecto integrador.</w:t>
      </w:r>
    </w:p>
    <w:p>
      <w:pPr>
        <w:pStyle w:val="Heading3"/>
        <w:spacing w:before="150" w:after="60"/>
        <w:rPr>
          <w:b/>
          <w:bCs/>
          <w:color w:themeColor="text1" w:val="000000"/>
        </w:rPr>
      </w:pPr>
      <w:r>
        <w:rPr>
          <w:b/>
          <w:bCs/>
          <w:color w:themeColor="text1" w:val="000000"/>
        </w:rPr>
        <w:t>Preguntas orientadoras</w:t>
      </w:r>
    </w:p>
    <w:p>
      <w:pPr>
        <w:pStyle w:val="ListParagraph"/>
        <w:numPr>
          <w:ilvl w:val="0"/>
          <w:numId w:val="2"/>
        </w:numPr>
        <w:spacing w:before="0" w:after="40"/>
        <w:rPr/>
      </w:pPr>
      <w:r>
        <w:rPr/>
        <w:t>¿Esta fuente responde directamente a su pregunta? Si no, no sirve por interesante que sea.</w:t>
      </w:r>
    </w:p>
    <w:p>
      <w:pPr>
        <w:pStyle w:val="ListParagraph"/>
        <w:numPr>
          <w:ilvl w:val="0"/>
          <w:numId w:val="2"/>
        </w:numPr>
        <w:spacing w:before="0" w:after="40"/>
        <w:rPr/>
      </w:pPr>
      <w:r>
        <w:rPr/>
        <w:t>¿Está disponible para descargar o consultar ya, sin permisos que no van a conseguir a tiempo?</w:t>
      </w:r>
    </w:p>
    <w:p>
      <w:pPr>
        <w:pStyle w:val="ListParagraph"/>
        <w:numPr>
          <w:ilvl w:val="0"/>
          <w:numId w:val="2"/>
        </w:numPr>
        <w:spacing w:before="0" w:after="40"/>
        <w:rPr/>
      </w:pPr>
      <w:r>
        <w:rPr/>
        <w:t>¿Tiene al menos unos cientos de registros?</w:t>
      </w:r>
    </w:p>
    <w:p>
      <w:pPr>
        <w:pStyle w:val="ListParagraph"/>
        <w:numPr>
          <w:ilvl w:val="0"/>
          <w:numId w:val="2"/>
        </w:numPr>
        <w:spacing w:before="0" w:after="40"/>
        <w:rPr/>
      </w:pPr>
      <w:r>
        <w:rPr/>
        <w:t>¿Existe una segunda fuente que se pueda cruzar con la primera (por ejemplo, por fecha, id de cliente o zona)?</w:t>
      </w:r>
    </w:p>
    <w:p>
      <w:pPr>
        <w:pStyle w:val="Normal"/>
        <w:spacing w:before="100" w:after="6"/>
        <w:rPr/>
      </w:pPr>
      <w:r>
        <w:rPr>
          <w:b/>
          <w:bCs/>
        </w:rPr>
        <w:t>Fuente 1 (qué es y dónde se consigue):</w:t>
      </w:r>
    </w:p>
    <w:tbl>
      <w:tblPr>
        <w:tblW w:w="9360" w:type="dxa"/>
        <w:jc w:val="start"/>
        <w:tblInd w:w="0" w:type="dxa"/>
        <w:tblLayout w:type="fixed"/>
        <w:tblCellMar>
          <w:top w:w="200" w:type="dxa"/>
          <w:start w:w="100" w:type="dxa"/>
          <w:bottom w:w="200" w:type="dxa"/>
          <w:end w:w="100" w:type="dxa"/>
        </w:tblCellMar>
        <w:tblLook w:val="04a0" w:firstRow="1" w:noVBand="1" w:lastRow="0" w:firstColumn="1" w:lastColumn="0" w:noHBand="0"/>
      </w:tblPr>
      <w:tblGrid>
        <w:gridCol w:w="9360"/>
      </w:tblGrid>
      <w:tr>
        <w:trPr/>
        <w:tc>
          <w:tcPr>
            <w:tcW w:w="936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40"/>
              <w:jc w:val="both"/>
              <w:rPr/>
            </w:pPr>
            <w:r>
              <w:rPr>
                <w:b/>
                <w:bCs/>
              </w:rPr>
              <w:t>Sectores críticos de siniestralidad vial</w:t>
            </w:r>
            <w:r>
              <w:rPr/>
              <w:t xml:space="preserve"> — Portal de Datos Abiertos de Colombia (datos.gov.co), conjunto de datos identificado rs3u-8r4q, publicado por la Agencia Nacional de Seguridad Vial (ANSV).</w:t>
            </w:r>
          </w:p>
          <w:p>
            <w:pPr>
              <w:pStyle w:val="Normal"/>
              <w:spacing w:lineRule="auto" w:line="252" w:before="0" w:after="40"/>
              <w:ind w:start="220"/>
              <w:jc w:val="both"/>
              <w:rPr/>
            </w:pPr>
            <w:r>
              <w:rPr>
                <w:b/>
                <w:bCs/>
              </w:rPr>
              <w:t>Enlace:</w:t>
            </w:r>
            <w:r>
              <w:rPr/>
              <w:t xml:space="preserve"> https://www.datos.gov.co/Transporte/SECTORES-CRITICOS-DE-SINIESTRALIDAD-VIAL/rs3u-8r4q</w:t>
            </w:r>
          </w:p>
          <w:p>
            <w:pPr>
              <w:pStyle w:val="Normal"/>
              <w:spacing w:lineRule="auto" w:line="252" w:before="0" w:after="40"/>
              <w:ind w:start="220"/>
              <w:jc w:val="both"/>
              <w:rPr/>
            </w:pPr>
            <w:r>
              <w:rPr>
                <w:b/>
                <w:bCs/>
              </w:rPr>
              <w:t>Qué contiene:</w:t>
            </w:r>
            <w:r>
              <w:rPr/>
              <w:t xml:space="preserve"> el inventario de tramos o sectores de la red vial señalados como críticos por concentración de siniestros, con su ubicación (departamento, municipio, vía o corredor y referencia del tramo), el conteo de siniestros y víctimas asociado y el año de referencia.</w:t>
            </w:r>
          </w:p>
          <w:p>
            <w:pPr>
              <w:pStyle w:val="Normal"/>
              <w:spacing w:lineRule="auto" w:line="252" w:before="0" w:after="40"/>
              <w:ind w:start="220"/>
              <w:jc w:val="both"/>
              <w:rPr/>
            </w:pPr>
            <w:r>
              <w:rPr>
                <w:b/>
                <w:bCs/>
              </w:rPr>
              <w:t>Cómo se consigue:</w:t>
            </w:r>
            <w:r>
              <w:rPr/>
              <w:t xml:space="preserve"> descarga directa y sin permisos en CSV, XLSX o JSON desde el propio portal, o de forma automatizada por la API Socrata del conjunto (https://www.datos.gov.co/resource/rs3u-8r4q.csv). Datos abiertos bajo los términos de uso del portal; no contiene datos personales. </w:t>
            </w:r>
          </w:p>
          <w:p>
            <w:pPr>
              <w:pStyle w:val="Normal"/>
              <w:spacing w:lineRule="auto" w:line="252" w:before="0" w:after="40"/>
              <w:ind w:start="220"/>
              <w:jc w:val="both"/>
              <w:rPr/>
            </w:pPr>
            <w:r>
              <w:rPr/>
            </w:r>
          </w:p>
          <w:p>
            <w:pPr>
              <w:pStyle w:val="Normal"/>
              <w:spacing w:lineRule="auto" w:line="252" w:before="0" w:after="40"/>
              <w:ind w:start="220"/>
              <w:jc w:val="both"/>
              <w:rPr/>
            </w:pPr>
            <w:r>
              <w:rPr>
                <w:b/>
                <w:bCs/>
              </w:rPr>
              <w:t>Por qué responde a la pregunta:</w:t>
            </w:r>
            <w:r>
              <w:rPr/>
              <w:t xml:space="preserve"> es la que aporta el </w:t>
            </w:r>
            <w:r>
              <w:rPr>
                <w:b/>
                <w:bCs/>
              </w:rPr>
              <w:t>dónde</w:t>
            </w:r>
            <w:r>
              <w:rPr/>
              <w:t xml:space="preserve"> —el sector vial concreto que se va a priorizar— y por lo tanto es la unidad de decisión del proyecto.</w:t>
            </w:r>
          </w:p>
          <w:p>
            <w:pPr>
              <w:pStyle w:val="Normal"/>
              <w:spacing w:lineRule="auto" w:line="252" w:before="0" w:after="0"/>
              <w:ind w:start="220"/>
              <w:jc w:val="both"/>
              <w:rPr/>
            </w:pPr>
            <w:r>
              <w:rPr>
                <w:b/>
                <w:bCs/>
              </w:rPr>
              <w:t>Por verificar en la descarga:</w:t>
            </w:r>
            <w:r>
              <w:rPr/>
              <w:t xml:space="preserve"> número exacto de registros, años cubiertos, nombres reales de las columnas y si el municipio viene con código DANE.</w:t>
            </w:r>
          </w:p>
        </w:tc>
      </w:tr>
    </w:tbl>
    <w:p>
      <w:pPr>
        <w:pStyle w:val="Normal"/>
        <w:spacing w:before="100" w:after="6"/>
        <w:rPr/>
      </w:pPr>
      <w:r>
        <w:rPr>
          <w:b/>
          <w:bCs/>
        </w:rPr>
        <w:t>Fuente 2 (qué es y dónde se consigue):</w:t>
      </w:r>
    </w:p>
    <w:tbl>
      <w:tblPr>
        <w:tblW w:w="9360" w:type="dxa"/>
        <w:jc w:val="start"/>
        <w:tblInd w:w="0" w:type="dxa"/>
        <w:tblLayout w:type="fixed"/>
        <w:tblCellMar>
          <w:top w:w="200" w:type="dxa"/>
          <w:start w:w="100" w:type="dxa"/>
          <w:bottom w:w="200" w:type="dxa"/>
          <w:end w:w="100" w:type="dxa"/>
        </w:tblCellMar>
        <w:tblLook w:val="04a0" w:firstRow="1" w:noVBand="1" w:lastRow="0" w:firstColumn="1" w:lastColumn="0" w:noHBand="0"/>
      </w:tblPr>
      <w:tblGrid>
        <w:gridCol w:w="9360"/>
      </w:tblGrid>
      <w:tr>
        <w:trPr/>
        <w:tc>
          <w:tcPr>
            <w:tcW w:w="936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40"/>
              <w:jc w:val="both"/>
              <w:rPr/>
            </w:pPr>
            <w:r>
              <w:rPr>
                <w:b/>
                <w:bCs/>
              </w:rPr>
              <w:t>Personas fallecidas en siniestros viales</w:t>
            </w:r>
            <w:r>
              <w:rPr/>
              <w:t xml:space="preserve"> — Observatorio Nacional de Seguridad Vial, Agencia Nacional de Seguridad Vial (ANSV).</w:t>
            </w:r>
          </w:p>
          <w:p>
            <w:pPr>
              <w:pStyle w:val="Normal"/>
              <w:spacing w:lineRule="auto" w:line="252" w:before="0" w:after="40"/>
              <w:ind w:start="220"/>
              <w:jc w:val="both"/>
              <w:rPr/>
            </w:pPr>
            <w:r>
              <w:rPr>
                <w:b/>
                <w:bCs/>
              </w:rPr>
              <w:t>Enlace:</w:t>
            </w:r>
            <w:r>
              <w:rPr/>
              <w:t xml:space="preserve"> https://ansv.gov.co/es/observatorio/estadisticas/personas-fallecidas-en-siniestros-viales</w:t>
            </w:r>
          </w:p>
          <w:p>
            <w:pPr>
              <w:pStyle w:val="Normal"/>
              <w:spacing w:lineRule="auto" w:line="252" w:before="0" w:after="40"/>
              <w:ind w:start="220"/>
              <w:jc w:val="both"/>
              <w:rPr/>
            </w:pPr>
            <w:r>
              <w:rPr>
                <w:b/>
                <w:bCs/>
              </w:rPr>
              <w:t>Qué contiene:</w:t>
            </w:r>
            <w:r>
              <w:rPr/>
              <w:t xml:space="preserve"> las cifras oficiales de víctimas fatales de siniestros viales en Colombia, desagregadas por año, departamento y municipio (con código DANE), condición o rol de la víctima (motociclista, peatón, ciclista, conductor, pasajero), tipo de vehículo involucrado y variables demográficas agregadas como sexo y grupo de edad. Trae día de la semana y franja horaria de 3 horas; el desglose por mes solo existe en el archivo de cifras preliminares (2024–2025 en curso)]. Se actualiza periódicamente y publica los últimos meses como cifra preliminar.</w:t>
            </w:r>
          </w:p>
          <w:p>
            <w:pPr>
              <w:pStyle w:val="Normal"/>
              <w:spacing w:lineRule="auto" w:line="252" w:before="0" w:after="40"/>
              <w:ind w:start="220"/>
              <w:jc w:val="both"/>
              <w:rPr/>
            </w:pPr>
            <w:r>
              <w:rPr>
                <w:b/>
                <w:bCs/>
              </w:rPr>
              <w:t>Cómo se consigue:</w:t>
            </w:r>
            <w:r>
              <w:rPr/>
              <w:t xml:space="preserve"> consulta y descarga en línea desde el portal del Observatorio (tableros y archivos en Excel/CSV), de acceso público y sin solicitud de permisos.</w:t>
            </w:r>
          </w:p>
          <w:p>
            <w:pPr>
              <w:pStyle w:val="Normal"/>
              <w:spacing w:lineRule="auto" w:line="252" w:before="0" w:after="40"/>
              <w:ind w:start="220"/>
              <w:jc w:val="both"/>
              <w:rPr/>
            </w:pPr>
            <w:r>
              <w:rPr>
                <w:b/>
                <w:bCs/>
              </w:rPr>
              <w:t>Por qué responde a la pregunta:</w:t>
            </w:r>
            <w:r>
              <w:rPr/>
              <w:t xml:space="preserve"> es la que aporta el </w:t>
            </w:r>
            <w:r>
              <w:rPr>
                <w:b/>
                <w:bCs/>
              </w:rPr>
              <w:t>quién y cuándo</w:t>
            </w:r>
            <w:r>
              <w:rPr/>
              <w:t xml:space="preserve"> —el perfil de la víctima y la evolución en el tiempo—, que es lo que define qué tipo de intervención corresponde a cada sector.</w:t>
            </w:r>
          </w:p>
          <w:p>
            <w:pPr>
              <w:pStyle w:val="Normal"/>
              <w:spacing w:lineRule="auto" w:line="252" w:before="0" w:after="0"/>
              <w:ind w:start="220"/>
              <w:jc w:val="both"/>
              <w:rPr/>
            </w:pPr>
            <w:r>
              <w:rPr>
                <w:b/>
                <w:bCs/>
              </w:rPr>
              <w:t>Cruce con la fuente 1:</w:t>
            </w:r>
            <w:r>
              <w:rPr/>
              <w:t xml:space="preserve"> por departamento y municipio (normalizados con código DANE) y por año; el tramo vial de la fuente 1 queda como desagregación interna dentro del municipio.</w:t>
            </w:r>
          </w:p>
        </w:tc>
      </w:tr>
    </w:tbl>
    <w:p>
      <w:pPr>
        <w:pStyle w:val="Heading1"/>
        <w:spacing w:before="320" w:after="120"/>
        <w:rPr>
          <w:b/>
          <w:bCs/>
          <w:color w:themeColor="text1" w:val="000000"/>
        </w:rPr>
      </w:pPr>
      <w:r>
        <w:rPr>
          <w:b/>
          <w:bCs/>
          <w:color w:themeColor="text1" w:val="000000"/>
        </w:rPr>
        <w:t>6. Riesgos</w:t>
      </w:r>
    </w:p>
    <w:p>
      <w:pPr>
        <w:pStyle w:val="Normal"/>
        <w:spacing w:before="0" w:after="110"/>
        <w:rPr>
          <w:color w:themeColor="text1" w:val="000000"/>
        </w:rPr>
      </w:pPr>
      <w:r>
        <w:rPr>
          <w:color w:themeColor="text1" w:val="000000"/>
        </w:rPr>
        <w:t>Cualquier cosa que ya intuyen que puede complicar el proyecto: calidad de la fuente, sesgo, autorización, disponibilidad de tiempo, etc.</w:t>
      </w:r>
    </w:p>
    <w:p>
      <w:pPr>
        <w:pStyle w:val="Heading3"/>
        <w:spacing w:before="150" w:after="60"/>
        <w:rPr>
          <w:b/>
          <w:bCs/>
          <w:color w:themeColor="text1" w:val="000000"/>
        </w:rPr>
      </w:pPr>
      <w:r>
        <w:rPr>
          <w:b/>
          <w:bCs/>
          <w:color w:themeColor="text1" w:val="000000"/>
        </w:rPr>
        <w:t>Preguntas orientadoras</w:t>
      </w:r>
    </w:p>
    <w:p>
      <w:pPr>
        <w:pStyle w:val="ListParagraph"/>
        <w:numPr>
          <w:ilvl w:val="0"/>
          <w:numId w:val="2"/>
        </w:numPr>
        <w:spacing w:before="0" w:after="40"/>
        <w:rPr/>
      </w:pPr>
      <w:r>
        <w:rPr/>
        <w:t>¿Su fuente tiene autorización clara de uso? ¿Contiene datos personales que haya que anonimizar?</w:t>
      </w:r>
    </w:p>
    <w:p>
      <w:pPr>
        <w:pStyle w:val="ListParagraph"/>
        <w:numPr>
          <w:ilvl w:val="0"/>
          <w:numId w:val="2"/>
        </w:numPr>
        <w:spacing w:before="0" w:after="40"/>
        <w:rPr/>
      </w:pPr>
      <w:r>
        <w:rPr/>
        <w:t>¿Podría tener algún sesgo? (por ejemplo, solo cierto tipo de personas está representado)</w:t>
      </w:r>
    </w:p>
    <w:p>
      <w:pPr>
        <w:pStyle w:val="ListParagraph"/>
        <w:numPr>
          <w:ilvl w:val="0"/>
          <w:numId w:val="2"/>
        </w:numPr>
        <w:spacing w:before="0" w:after="40"/>
        <w:rPr/>
      </w:pPr>
      <w:r>
        <w:rPr/>
        <w:t>¿Está razonablemente actualizada y documentada?</w:t>
      </w:r>
    </w:p>
    <w:p>
      <w:pPr>
        <w:pStyle w:val="Normal"/>
        <w:spacing w:before="100" w:after="6"/>
        <w:rPr/>
      </w:pPr>
      <w:r>
        <w:rPr>
          <w:b/>
          <w:bCs/>
        </w:rPr>
        <w:t>Riesgo(s) identificados:</w:t>
      </w:r>
    </w:p>
    <w:tbl>
      <w:tblPr>
        <w:tblW w:w="9360" w:type="dxa"/>
        <w:jc w:val="start"/>
        <w:tblInd w:w="0" w:type="dxa"/>
        <w:tblLayout w:type="fixed"/>
        <w:tblCellMar>
          <w:top w:w="200" w:type="dxa"/>
          <w:start w:w="100" w:type="dxa"/>
          <w:bottom w:w="200" w:type="dxa"/>
          <w:end w:w="100" w:type="dxa"/>
        </w:tblCellMar>
        <w:tblLook w:val="04a0" w:firstRow="1" w:noVBand="1" w:lastRow="0" w:firstColumn="1" w:lastColumn="0" w:noHBand="0"/>
      </w:tblPr>
      <w:tblGrid>
        <w:gridCol w:w="9360"/>
      </w:tblGrid>
      <w:tr>
        <w:trPr/>
        <w:tc>
          <w:tcPr>
            <w:tcW w:w="936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40"/>
              <w:jc w:val="both"/>
              <w:rPr/>
            </w:pPr>
            <w:r>
              <w:rPr>
                <w:b/>
                <w:bCs/>
              </w:rPr>
              <w:t>1. Distinta unidad de análisis entre las dos fuentes (riesgo principal).</w:t>
            </w:r>
            <w:r>
              <w:rPr/>
              <w:t xml:space="preserve"> La fuente 1 está organizada por tramo de vía y la fuente 2 por municipio y persona fallecida, así que puede no existir una llave directa tramo ↔ municipio y el cruce podría quedar solo a nivel departamental, perdiendo detalle. </w:t>
            </w:r>
            <w:r>
              <w:rPr>
                <w:b/>
                <w:bCs/>
              </w:rPr>
              <w:t>Mitigación:</w:t>
            </w:r>
            <w:r>
              <w:rPr/>
              <w:t xml:space="preserve"> verificar la llave en la primera semana; si el municipio no está, derivarlo de las coordenadas o del nombre del corredor, y dejar el análisis del tramo como capa descriptiva independiente.</w:t>
            </w:r>
          </w:p>
          <w:p>
            <w:pPr>
              <w:pStyle w:val="Normal"/>
              <w:spacing w:lineRule="auto" w:line="252" w:before="0" w:after="40"/>
              <w:jc w:val="both"/>
              <w:rPr/>
            </w:pPr>
            <w:r>
              <w:rPr>
                <w:b/>
                <w:bCs/>
              </w:rPr>
              <w:t>3. Cifras preliminares y conteo de fallecidos a 30 días.</w:t>
            </w:r>
            <w:r>
              <w:rPr/>
              <w:t xml:space="preserve"> Los meses más recientes del Observatorio se publican como preliminares y suelen revisarse al alza, de modo que un periodo incompleto aparentaría una mejora que no existe. </w:t>
            </w:r>
            <w:r>
              <w:rPr>
                <w:b/>
                <w:bCs/>
              </w:rPr>
              <w:t>Mitigación:</w:t>
            </w:r>
            <w:r>
              <w:rPr/>
              <w:t xml:space="preserve"> usar solo años cerrados para comparar, y registrar la fecha exacta de descarga de cada archivo.</w:t>
            </w:r>
          </w:p>
          <w:p>
            <w:pPr>
              <w:pStyle w:val="Normal"/>
              <w:spacing w:lineRule="auto" w:line="252" w:before="0" w:after="40"/>
              <w:jc w:val="both"/>
              <w:rPr/>
            </w:pPr>
            <w:r>
              <w:rPr>
                <w:b/>
                <w:bCs/>
              </w:rPr>
              <w:t>3. Conteos sin denominador de exposición.</w:t>
            </w:r>
            <w:r>
              <w:rPr/>
              <w:t xml:space="preserve"> Un corredor puede tener más muertes simplemente porque pasan más vehículos por él; sin tránsito promedio diario o población no se puede calcular una tasa, y el ranking podría recomendar intervenir donde solo hay más flujo. </w:t>
            </w:r>
            <w:r>
              <w:rPr>
                <w:b/>
                <w:bCs/>
              </w:rPr>
              <w:t>Mitigación:</w:t>
            </w:r>
            <w:r>
              <w:rPr/>
              <w:t xml:space="preserve"> declararlo como limitación y, de ser viable, incorporar población DANE o TPD del INVÍAS como tercera fuente auxiliar.</w:t>
            </w:r>
          </w:p>
          <w:p>
            <w:pPr>
              <w:pStyle w:val="Normal"/>
              <w:spacing w:lineRule="auto" w:line="252" w:before="0" w:after="40"/>
              <w:jc w:val="both"/>
              <w:rPr/>
            </w:pPr>
            <w:r>
              <w:rPr>
                <w:b/>
                <w:bCs/>
              </w:rPr>
              <w:t>4. Datos de personas fallecidas.</w:t>
            </w:r>
            <w:r>
              <w:rPr/>
              <w:t xml:space="preserve"> Aunque las fuentes publican agregados, el conjunto incluye atributos sensibles (edad, sexo, municipio) de personas reales. </w:t>
            </w:r>
            <w:r>
              <w:rPr>
                <w:b/>
                <w:bCs/>
              </w:rPr>
              <w:t>Mitigación:</w:t>
            </w:r>
            <w:r>
              <w:rPr/>
              <w:t xml:space="preserve"> trabajar exclusivamente con agregados, no publicar registros individuales ni intentar reidentificación, y tratar el tema con el cuidado</w:t>
            </w:r>
          </w:p>
        </w:tc>
      </w:tr>
    </w:tbl>
    <w:p>
      <w:pPr>
        <w:pStyle w:val="Heading1"/>
        <w:spacing w:before="320" w:after="120"/>
        <w:rPr>
          <w:b/>
          <w:bCs/>
          <w:color w:themeColor="text1" w:val="000000"/>
        </w:rPr>
      </w:pPr>
      <w:r>
        <w:rPr>
          <w:b/>
          <w:bCs/>
          <w:color w:themeColor="text1" w:val="000000"/>
        </w:rPr>
        <w:t>7. Repositorio del proyecto en GitHub</w:t>
      </w:r>
    </w:p>
    <w:p>
      <w:pPr>
        <w:pStyle w:val="Normal"/>
        <w:spacing w:before="0" w:after="110"/>
        <w:rPr/>
      </w:pPr>
      <w:r>
        <w:rPr/>
        <w:t>El repositorio se crea desde ahora, aunque esté casi vacío, no se deja para el final del semestre.</w:t>
      </w:r>
    </w:p>
    <w:p>
      <w:pPr>
        <w:pStyle w:val="Heading3"/>
        <w:spacing w:before="150" w:after="60"/>
        <w:rPr>
          <w:b/>
          <w:bCs/>
        </w:rPr>
      </w:pPr>
      <w:r>
        <w:rPr>
          <w:b/>
          <w:bCs/>
          <w:color w:themeColor="text1" w:val="000000"/>
        </w:rPr>
        <w:t>Pasos</w:t>
      </w:r>
    </w:p>
    <w:p>
      <w:pPr>
        <w:pStyle w:val="ListParagraph"/>
        <w:numPr>
          <w:ilvl w:val="0"/>
          <w:numId w:val="2"/>
        </w:numPr>
        <w:spacing w:before="0" w:after="55"/>
        <w:rPr/>
      </w:pPr>
      <w:r>
        <w:rPr/>
        <w:t>Si no tienen cuenta, créenla gratis en github.com.</w:t>
      </w:r>
    </w:p>
    <w:p>
      <w:pPr>
        <w:pStyle w:val="ListParagraph"/>
        <w:numPr>
          <w:ilvl w:val="0"/>
          <w:numId w:val="2"/>
        </w:numPr>
        <w:spacing w:before="0" w:after="55"/>
        <w:rPr/>
      </w:pPr>
      <w:r>
        <w:rPr/>
        <w:t>Creen un repositorio nuevo con nombre claro relacionado a su proyecto, marcando la opción de agregar un README.</w:t>
      </w:r>
    </w:p>
    <w:p>
      <w:pPr>
        <w:pStyle w:val="Normal"/>
        <w:spacing w:before="0" w:after="110"/>
        <w:rPr/>
      </w:pPr>
      <w:r>
        <w:rPr/>
        <w:t>En una terminal, clonen el repositorio:</w:t>
      </w:r>
    </w:p>
    <w:p>
      <w:pPr>
        <w:pStyle w:val="Normal"/>
        <w:shd w:val="clear" w:color="auto" w:fill="F2F2F2"/>
        <w:spacing w:before="0" w:after="20"/>
        <w:rPr/>
      </w:pPr>
      <w:r>
        <w:rPr>
          <w:rFonts w:eastAsia="Consolas" w:cs="Consolas" w:ascii="Consolas" w:hAnsi="Consolas"/>
          <w:sz w:val="20"/>
          <w:szCs w:val="20"/>
        </w:rPr>
        <w:t>git clone https://github.com/SU-USUARIO/nombre-del-repo.git</w:t>
      </w:r>
    </w:p>
    <w:p>
      <w:pPr>
        <w:pStyle w:val="Normal"/>
        <w:shd w:val="clear" w:color="auto" w:fill="F2F2F2"/>
        <w:spacing w:before="0" w:after="20"/>
        <w:rPr/>
      </w:pPr>
      <w:r>
        <w:rPr>
          <w:rFonts w:eastAsia="Consolas" w:cs="Consolas" w:ascii="Consolas" w:hAnsi="Consolas"/>
          <w:sz w:val="20"/>
          <w:szCs w:val="20"/>
        </w:rPr>
        <w:t>cd nombre-del-repo</w:t>
      </w:r>
    </w:p>
    <w:p>
      <w:pPr>
        <w:pStyle w:val="Normal"/>
        <w:spacing w:before="0" w:after="110"/>
        <w:rPr/>
      </w:pPr>
      <w:r>
        <w:rPr/>
        <w:t>Creen la estructura base:</w:t>
      </w:r>
    </w:p>
    <w:p>
      <w:pPr>
        <w:pStyle w:val="Normal"/>
        <w:shd w:val="clear" w:color="auto" w:fill="F2F2F2"/>
        <w:spacing w:before="0" w:after="20"/>
        <w:rPr/>
      </w:pPr>
      <w:r>
        <w:rPr>
          <w:rFonts w:eastAsia="Consolas" w:cs="Consolas" w:ascii="Consolas" w:hAnsi="Consolas"/>
          <w:sz w:val="20"/>
          <w:szCs w:val="20"/>
        </w:rPr>
        <w:t>mkdir data</w:t>
      </w:r>
    </w:p>
    <w:p>
      <w:pPr>
        <w:pStyle w:val="Normal"/>
        <w:shd w:val="clear" w:color="auto" w:fill="F2F2F2"/>
        <w:spacing w:before="0" w:after="20"/>
        <w:rPr/>
      </w:pPr>
      <w:r>
        <w:rPr>
          <w:rFonts w:eastAsia="Consolas" w:cs="Consolas" w:ascii="Consolas" w:hAnsi="Consolas"/>
          <w:sz w:val="20"/>
          <w:szCs w:val="20"/>
        </w:rPr>
        <w:t>mkdir notebooks</w:t>
      </w:r>
    </w:p>
    <w:p>
      <w:pPr>
        <w:pStyle w:val="Normal"/>
        <w:spacing w:before="0" w:after="110"/>
        <w:rPr/>
      </w:pPr>
      <w:r>
        <w:rPr/>
        <w:t>Editen el README.md con su objetivo e integrantes:</w:t>
      </w:r>
    </w:p>
    <w:p>
      <w:pPr>
        <w:pStyle w:val="Normal"/>
        <w:shd w:val="clear" w:color="auto" w:fill="F2F2F2"/>
        <w:spacing w:before="0" w:after="20"/>
        <w:rPr/>
      </w:pPr>
      <w:r>
        <w:rPr>
          <w:rFonts w:eastAsia="Consolas" w:cs="Consolas" w:ascii="Consolas" w:hAnsi="Consolas"/>
          <w:sz w:val="20"/>
          <w:szCs w:val="20"/>
        </w:rPr>
        <w:t># Proyecto de Minería de Datos — [nombre corto]</w:t>
      </w:r>
    </w:p>
    <w:p>
      <w:pPr>
        <w:pStyle w:val="Normal"/>
        <w:shd w:val="clear" w:color="auto" w:fill="F2F2F2"/>
        <w:spacing w:before="0" w:after="20"/>
        <w:rPr/>
      </w:pPr>
      <w:r>
        <w:rPr/>
      </w:r>
    </w:p>
    <w:p>
      <w:pPr>
        <w:pStyle w:val="Normal"/>
        <w:shd w:val="clear" w:color="auto" w:fill="F2F2F2"/>
        <w:spacing w:before="0" w:after="20"/>
        <w:rPr/>
      </w:pPr>
      <w:r>
        <w:rPr>
          <w:rFonts w:eastAsia="Consolas" w:cs="Consolas" w:ascii="Consolas" w:hAnsi="Consolas"/>
          <w:sz w:val="20"/>
          <w:szCs w:val="20"/>
        </w:rPr>
        <w:t>## Problema</w:t>
      </w:r>
    </w:p>
    <w:p>
      <w:pPr>
        <w:pStyle w:val="Normal"/>
        <w:shd w:val="clear" w:color="auto" w:fill="F2F2F2"/>
        <w:spacing w:before="0" w:after="20"/>
        <w:rPr/>
      </w:pPr>
      <w:r>
        <w:rPr>
          <w:rFonts w:eastAsia="Consolas" w:cs="Consolas" w:ascii="Consolas" w:hAnsi="Consolas"/>
          <w:sz w:val="20"/>
          <w:szCs w:val="20"/>
        </w:rPr>
        <w:t>[su objetivo]</w:t>
      </w:r>
    </w:p>
    <w:p>
      <w:pPr>
        <w:pStyle w:val="Normal"/>
        <w:shd w:val="clear" w:color="auto" w:fill="F2F2F2"/>
        <w:spacing w:before="0" w:after="20"/>
        <w:rPr/>
      </w:pPr>
      <w:r>
        <w:rPr/>
      </w:r>
    </w:p>
    <w:p>
      <w:pPr>
        <w:pStyle w:val="Normal"/>
        <w:shd w:val="clear" w:color="auto" w:fill="F2F2F2"/>
        <w:spacing w:before="0" w:after="20"/>
        <w:rPr/>
      </w:pPr>
      <w:r>
        <w:rPr>
          <w:rFonts w:eastAsia="Consolas" w:cs="Consolas" w:ascii="Consolas" w:hAnsi="Consolas"/>
          <w:sz w:val="20"/>
          <w:szCs w:val="20"/>
        </w:rPr>
        <w:t>## Integrantes</w:t>
      </w:r>
    </w:p>
    <w:p>
      <w:pPr>
        <w:pStyle w:val="Normal"/>
        <w:shd w:val="clear" w:color="auto" w:fill="F2F2F2"/>
        <w:spacing w:before="0" w:after="20"/>
        <w:rPr/>
      </w:pPr>
      <w:r>
        <w:rPr>
          <w:rFonts w:eastAsia="Consolas" w:cs="Consolas" w:ascii="Consolas" w:hAnsi="Consolas"/>
          <w:sz w:val="20"/>
          <w:szCs w:val="20"/>
        </w:rPr>
        <w:t>[nombres]</w:t>
      </w:r>
    </w:p>
    <w:p>
      <w:pPr>
        <w:pStyle w:val="Normal"/>
        <w:spacing w:before="0" w:after="110"/>
        <w:rPr/>
      </w:pPr>
      <w:r>
        <w:rPr/>
        <w:t>Y suban los cambios:</w:t>
      </w:r>
    </w:p>
    <w:p>
      <w:pPr>
        <w:pStyle w:val="Normal"/>
        <w:shd w:val="clear" w:color="auto" w:fill="F2F2F2"/>
        <w:spacing w:before="0" w:after="20"/>
        <w:rPr/>
      </w:pPr>
      <w:r>
        <w:rPr>
          <w:rFonts w:eastAsia="Consolas" w:cs="Consolas" w:ascii="Consolas" w:hAnsi="Consolas"/>
          <w:sz w:val="20"/>
          <w:szCs w:val="20"/>
        </w:rPr>
        <w:t>git add .</w:t>
      </w:r>
    </w:p>
    <w:p>
      <w:pPr>
        <w:pStyle w:val="Normal"/>
        <w:shd w:val="clear" w:color="auto" w:fill="F2F2F2"/>
        <w:spacing w:before="0" w:after="20"/>
        <w:rPr/>
      </w:pPr>
      <w:r>
        <w:rPr>
          <w:rFonts w:eastAsia="Consolas" w:cs="Consolas" w:ascii="Consolas" w:hAnsi="Consolas"/>
          <w:sz w:val="20"/>
          <w:szCs w:val="20"/>
        </w:rPr>
        <w:t>git commit -m "Estructura inicial del proyecto y README"</w:t>
      </w:r>
    </w:p>
    <w:p>
      <w:pPr>
        <w:pStyle w:val="Normal"/>
        <w:shd w:val="clear" w:color="auto" w:fill="F2F2F2"/>
        <w:spacing w:before="0" w:after="20"/>
        <w:rPr/>
      </w:pPr>
      <w:r>
        <w:rPr>
          <w:rFonts w:eastAsia="Consolas" w:cs="Consolas" w:ascii="Consolas" w:hAnsi="Consolas"/>
          <w:sz w:val="20"/>
          <w:szCs w:val="20"/>
        </w:rPr>
        <w:t>git push</w:t>
      </w:r>
    </w:p>
    <w:p>
      <w:pPr>
        <w:pStyle w:val="Normal"/>
        <w:spacing w:before="100" w:after="6"/>
        <w:rPr/>
      </w:pPr>
      <w:r>
        <w:rPr>
          <w:b/>
          <w:bCs/>
        </w:rPr>
        <w:t>Link de su repositorio:</w:t>
      </w:r>
    </w:p>
    <w:tbl>
      <w:tblPr>
        <w:tblW w:w="9360" w:type="dxa"/>
        <w:jc w:val="start"/>
        <w:tblInd w:w="0" w:type="dxa"/>
        <w:tblLayout w:type="fixed"/>
        <w:tblCellMar>
          <w:top w:w="200" w:type="dxa"/>
          <w:start w:w="100" w:type="dxa"/>
          <w:bottom w:w="200" w:type="dxa"/>
          <w:end w:w="100" w:type="dxa"/>
        </w:tblCellMar>
        <w:tblLook w:val="04a0" w:firstRow="1" w:noVBand="1" w:lastRow="0" w:firstColumn="1" w:lastColumn="0" w:noHBand="0"/>
      </w:tblPr>
      <w:tblGrid>
        <w:gridCol w:w="9360"/>
      </w:tblGrid>
      <w:tr>
        <w:trPr/>
        <w:tc>
          <w:tcPr>
            <w:tcW w:w="9360" w:type="dxa"/>
            <w:tcBorders>
              <w:top w:val="single" w:sz="4" w:space="0" w:color="000000"/>
              <w:start w:val="single" w:sz="4" w:space="0" w:color="000000"/>
              <w:bottom w:val="single" w:sz="4" w:space="0" w:color="000000"/>
              <w:end w:val="single" w:sz="4" w:space="0" w:color="000000"/>
            </w:tcBorders>
          </w:tcPr>
          <w:p>
            <w:pPr>
              <w:pStyle w:val="Normal"/>
              <w:rPr/>
            </w:pPr>
            <w:r>
              <w:rPr/>
              <w:t xml:space="preserve"> </w:t>
            </w:r>
          </w:p>
          <w:p>
            <w:pPr>
              <w:pStyle w:val="Normal"/>
              <w:rPr/>
            </w:pPr>
            <w:r>
              <w:rPr/>
              <w:t xml:space="preserve"> </w:t>
            </w:r>
          </w:p>
        </w:tc>
      </w:tr>
    </w:tbl>
    <w:p>
      <w:pPr>
        <w:pStyle w:val="Heading1"/>
        <w:spacing w:before="320" w:after="120"/>
        <w:rPr>
          <w:b/>
          <w:bCs/>
          <w:color w:themeColor="text1" w:val="000000"/>
        </w:rPr>
      </w:pPr>
      <w:r>
        <w:rPr>
          <w:b/>
          <w:bCs/>
          <w:color w:themeColor="text1" w:val="000000"/>
        </w:rPr>
        <w:t>Antes de entregar: autoevaluación</w:t>
      </w:r>
    </w:p>
    <w:p>
      <w:pPr>
        <w:pStyle w:val="Normal"/>
        <w:spacing w:before="0" w:after="60"/>
        <w:rPr/>
      </w:pPr>
      <w:r>
        <w:rPr/>
        <w:t xml:space="preserve">☑  </w:t>
      </w:r>
      <w:r>
        <w:rPr/>
        <w:t>Mi objetivo tiene forma de pregunta de decisión, no de tema.</w:t>
      </w:r>
      <w:r>
        <w:rPr>
          <w:i/>
          <w:iCs/>
          <w:color w:val="666666"/>
          <w:sz w:val="18"/>
          <w:szCs w:val="18"/>
        </w:rPr>
        <w:t xml:space="preserve">   → Está redactado como pregunta, nombra a quien decide (ANSV y secretarías de tránsito) y la acción que se toma con la respuesta.</w:t>
      </w:r>
    </w:p>
    <w:p>
      <w:pPr>
        <w:pStyle w:val="Normal"/>
        <w:spacing w:before="0" w:after="60"/>
        <w:rPr/>
      </w:pPr>
      <w:r>
        <w:rPr/>
        <w:t xml:space="preserve">☑  </w:t>
      </w:r>
      <w:r>
        <w:rPr/>
        <w:t>Mi alcance dice claramente qué NO cubre el proyecto, no solo qué sí.</w:t>
      </w:r>
      <w:r>
        <w:rPr>
          <w:i/>
          <w:iCs/>
          <w:color w:val="666666"/>
          <w:sz w:val="18"/>
          <w:szCs w:val="18"/>
        </w:rPr>
        <w:t xml:space="preserve">   → La sección "NO cubre" lista seis exclusiones explícitas, incluida la de no hacer modelo predictivo individual.</w:t>
      </w:r>
    </w:p>
    <w:p>
      <w:pPr>
        <w:pStyle w:val="Normal"/>
        <w:spacing w:before="0" w:after="60"/>
        <w:rPr/>
      </w:pPr>
      <w:r>
        <w:rPr/>
        <w:t xml:space="preserve">☑  </w:t>
      </w:r>
      <w:r>
        <w:rPr/>
        <w:t>Mi hipótesis explica el 'por qué', no solo el 'qué'.</w:t>
      </w:r>
      <w:r>
        <w:rPr>
          <w:i/>
          <w:iCs/>
          <w:color w:val="666666"/>
          <w:sz w:val="18"/>
          <w:szCs w:val="18"/>
        </w:rPr>
        <w:t xml:space="preserve">   → Cada hipótesis incluye su "porque" y es falsable con los datos de las dos fuentes.</w:t>
      </w:r>
    </w:p>
    <w:p>
      <w:pPr>
        <w:pStyle w:val="Normal"/>
        <w:spacing w:before="0" w:after="60"/>
        <w:rPr/>
      </w:pPr>
      <w:r>
        <w:rPr/>
        <w:t xml:space="preserve">☑  </w:t>
      </w:r>
      <w:r>
        <w:rPr/>
        <w:t>Mis indicadores de éxito son medibles, no vagos.</w:t>
      </w:r>
      <w:r>
        <w:rPr>
          <w:i/>
          <w:iCs/>
          <w:color w:val="666666"/>
          <w:sz w:val="18"/>
          <w:szCs w:val="18"/>
        </w:rPr>
        <w:t xml:space="preserve">   → Los seis indicadores tienen umbral o entregable verificable (90% de cruce, 30% de concentración, 3 perfiles, 10 corredores, presencia en 2 años, notebook reproducible).</w:t>
      </w:r>
    </w:p>
    <w:p>
      <w:pPr>
        <w:pStyle w:val="Normal"/>
        <w:spacing w:before="0" w:after="60"/>
        <w:rPr/>
      </w:pPr>
      <w:r>
        <w:rPr/>
        <w:t xml:space="preserve">☑  </w:t>
      </w:r>
      <w:r>
        <w:rPr/>
        <w:t>Tengo 2 fuentes de datos identificadas, y sé dónde conseguirlas.</w:t>
      </w:r>
      <w:r>
        <w:rPr>
          <w:i/>
          <w:iCs/>
          <w:color w:val="666666"/>
          <w:sz w:val="18"/>
          <w:szCs w:val="18"/>
        </w:rPr>
        <w:t xml:space="preserve">   → Fuente 1: Datos Abiertos Colombia (rs3u-8r4q). Fuente 2: Observatorio ANSV. Ambas públicas, descargables hoy y cruzables por municipio y año.</w:t>
      </w:r>
    </w:p>
    <w:p>
      <w:pPr>
        <w:pStyle w:val="Normal"/>
        <w:spacing w:before="0" w:after="60"/>
        <w:rPr/>
      </w:pPr>
      <w:r>
        <w:rPr/>
        <w:t xml:space="preserve">☑  </w:t>
      </w:r>
      <w:r>
        <w:rPr/>
        <w:t>Anoté al menos un riesgo real, no genérico.</w:t>
      </w:r>
      <w:r>
        <w:rPr>
          <w:i/>
          <w:iCs/>
          <w:color w:val="666666"/>
          <w:sz w:val="18"/>
          <w:szCs w:val="18"/>
        </w:rPr>
        <w:t xml:space="preserve">   → El riesgo 2 (sesgo de selección heredado de la definición de "sector crítico") es propio de estas fuentes, no un riesgo genérico de cualquier proyecto.</w:t>
      </w:r>
    </w:p>
    <w:p>
      <w:pPr>
        <w:pStyle w:val="Normal"/>
        <w:spacing w:before="0" w:after="60"/>
        <w:rPr/>
      </w:pPr>
      <w:r>
        <w:rPr/>
        <w:t xml:space="preserve">☑  </w:t>
      </w:r>
      <w:r>
        <w:rPr/>
        <w:t>Mi repositorio existe, tiene README con mi objetivo, y las carpetas /data y /notebooks.</w:t>
      </w:r>
    </w:p>
    <w:p>
      <w:pPr>
        <w:pStyle w:val="Heading1"/>
        <w:spacing w:before="320" w:after="120"/>
        <w:rPr>
          <w:b/>
          <w:bCs/>
          <w:color w:themeColor="text1" w:val="000000"/>
        </w:rPr>
      </w:pPr>
      <w:r>
        <w:rPr>
          <w:b/>
          <w:bCs/>
          <w:color w:themeColor="text1" w:val="000000"/>
        </w:rPr>
        <w:t>Preguntas frecuentes</w:t>
      </w:r>
    </w:p>
    <w:tbl>
      <w:tblPr>
        <w:tblW w:w="9360" w:type="dxa"/>
        <w:jc w:val="start"/>
        <w:tblInd w:w="0" w:type="dxa"/>
        <w:tblLayout w:type="fixed"/>
        <w:tblCellMar>
          <w:top w:w="80" w:type="dxa"/>
          <w:start w:w="100" w:type="dxa"/>
          <w:bottom w:w="80" w:type="dxa"/>
          <w:end w:w="100" w:type="dxa"/>
        </w:tblCellMar>
        <w:tblLook w:val="04a0" w:firstRow="1" w:noVBand="1" w:lastRow="0" w:firstColumn="1" w:lastColumn="0" w:noHBand="0"/>
      </w:tblPr>
      <w:tblGrid>
        <w:gridCol w:w="3800"/>
        <w:gridCol w:w="5560"/>
      </w:tblGrid>
      <w:tr>
        <w:trPr/>
        <w:tc>
          <w:tcPr>
            <w:tcW w:w="3800" w:type="dxa"/>
            <w:tcBorders>
              <w:top w:val="single" w:sz="4" w:space="0" w:color="000000"/>
              <w:start w:val="single" w:sz="4" w:space="0" w:color="000000"/>
              <w:bottom w:val="single" w:sz="4" w:space="0" w:color="000000"/>
              <w:end w:val="single" w:sz="4" w:space="0" w:color="000000"/>
            </w:tcBorders>
            <w:shd w:color="auto" w:fill="1F3864" w:val="clear"/>
          </w:tcPr>
          <w:p>
            <w:pPr>
              <w:pStyle w:val="Normal"/>
              <w:rPr/>
            </w:pPr>
            <w:r>
              <w:rPr>
                <w:b/>
                <w:bCs/>
                <w:color w:val="FFFFFF"/>
                <w:sz w:val="20"/>
                <w:szCs w:val="20"/>
              </w:rPr>
              <w:t>Pregunta</w:t>
            </w:r>
          </w:p>
        </w:tc>
        <w:tc>
          <w:tcPr>
            <w:tcW w:w="5560" w:type="dxa"/>
            <w:tcBorders>
              <w:top w:val="single" w:sz="4" w:space="0" w:color="000000"/>
              <w:start w:val="single" w:sz="4" w:space="0" w:color="000000"/>
              <w:bottom w:val="single" w:sz="4" w:space="0" w:color="000000"/>
              <w:end w:val="single" w:sz="4" w:space="0" w:color="000000"/>
            </w:tcBorders>
            <w:shd w:color="auto" w:fill="1F3864" w:val="clear"/>
          </w:tcPr>
          <w:p>
            <w:pPr>
              <w:pStyle w:val="Normal"/>
              <w:rPr/>
            </w:pPr>
            <w:r>
              <w:rPr>
                <w:b/>
                <w:bCs/>
                <w:color w:val="FFFFFF"/>
                <w:sz w:val="20"/>
                <w:szCs w:val="20"/>
              </w:rPr>
              <w:t>Respuesta</w:t>
            </w:r>
          </w:p>
        </w:tc>
      </w:tr>
      <w:tr>
        <w:trPr/>
        <w:tc>
          <w:tcPr>
            <w:tcW w:w="3800" w:type="dxa"/>
            <w:tcBorders>
              <w:top w:val="single" w:sz="4" w:space="0" w:color="000000"/>
              <w:start w:val="single" w:sz="4" w:space="0" w:color="000000"/>
              <w:bottom w:val="single" w:sz="4" w:space="0" w:color="000000"/>
              <w:end w:val="single" w:sz="4" w:space="0" w:color="000000"/>
            </w:tcBorders>
          </w:tcPr>
          <w:p>
            <w:pPr>
              <w:pStyle w:val="Normal"/>
              <w:rPr/>
            </w:pPr>
            <w:r>
              <w:rPr>
                <w:color w:val="000000"/>
                <w:sz w:val="20"/>
                <w:szCs w:val="20"/>
              </w:rPr>
              <w:t>¿Puedo cambiar mi pregunta más adelante?</w:t>
            </w:r>
          </w:p>
        </w:tc>
        <w:tc>
          <w:tcPr>
            <w:tcW w:w="5560" w:type="dxa"/>
            <w:tcBorders>
              <w:top w:val="single" w:sz="4" w:space="0" w:color="000000"/>
              <w:start w:val="single" w:sz="4" w:space="0" w:color="000000"/>
              <w:bottom w:val="single" w:sz="4" w:space="0" w:color="000000"/>
              <w:end w:val="single" w:sz="4" w:space="0" w:color="000000"/>
            </w:tcBorders>
          </w:tcPr>
          <w:p>
            <w:pPr>
              <w:pStyle w:val="Normal"/>
              <w:rPr/>
            </w:pPr>
            <w:r>
              <w:rPr>
                <w:color w:val="000000"/>
                <w:sz w:val="20"/>
                <w:szCs w:val="20"/>
              </w:rPr>
              <w:t>Sí, es normal ajustarla después de conocer mejor los datos (Unidad 2-3). Lo que no pueden es no tener ninguna ahora.</w:t>
            </w:r>
          </w:p>
        </w:tc>
      </w:tr>
      <w:tr>
        <w:trPr/>
        <w:tc>
          <w:tcPr>
            <w:tcW w:w="3800" w:type="dxa"/>
            <w:tcBorders>
              <w:top w:val="single" w:sz="4" w:space="0" w:color="000000"/>
              <w:start w:val="single" w:sz="4" w:space="0" w:color="000000"/>
              <w:bottom w:val="single" w:sz="4" w:space="0" w:color="000000"/>
              <w:end w:val="single" w:sz="4" w:space="0" w:color="000000"/>
            </w:tcBorders>
          </w:tcPr>
          <w:p>
            <w:pPr>
              <w:pStyle w:val="Normal"/>
              <w:rPr/>
            </w:pPr>
            <w:r>
              <w:rPr>
                <w:color w:val="000000"/>
                <w:sz w:val="20"/>
                <w:szCs w:val="20"/>
              </w:rPr>
              <w:t>¿Qué pasa si no tengo idea de proyecto todavía?</w:t>
            </w:r>
          </w:p>
        </w:tc>
        <w:tc>
          <w:tcPr>
            <w:tcW w:w="5560" w:type="dxa"/>
            <w:tcBorders>
              <w:top w:val="single" w:sz="4" w:space="0" w:color="000000"/>
              <w:start w:val="single" w:sz="4" w:space="0" w:color="000000"/>
              <w:bottom w:val="single" w:sz="4" w:space="0" w:color="000000"/>
              <w:end w:val="single" w:sz="4" w:space="0" w:color="000000"/>
            </w:tcBorders>
          </w:tcPr>
          <w:p>
            <w:pPr>
              <w:pStyle w:val="Normal"/>
              <w:rPr/>
            </w:pPr>
            <w:r>
              <w:rPr>
                <w:color w:val="000000"/>
                <w:sz w:val="20"/>
                <w:szCs w:val="20"/>
              </w:rPr>
              <w:t>Usen una opción del banco de proyectos de respaldo que la profesora compartió — cada una ya cumple los requisitos del proyecto integrador.</w:t>
            </w:r>
          </w:p>
        </w:tc>
      </w:tr>
      <w:tr>
        <w:trPr/>
        <w:tc>
          <w:tcPr>
            <w:tcW w:w="3800" w:type="dxa"/>
            <w:tcBorders>
              <w:top w:val="single" w:sz="4" w:space="0" w:color="000000"/>
              <w:start w:val="single" w:sz="4" w:space="0" w:color="000000"/>
              <w:bottom w:val="single" w:sz="4" w:space="0" w:color="000000"/>
              <w:end w:val="single" w:sz="4" w:space="0" w:color="000000"/>
            </w:tcBorders>
          </w:tcPr>
          <w:p>
            <w:pPr>
              <w:pStyle w:val="Normal"/>
              <w:rPr/>
            </w:pPr>
            <w:r>
              <w:rPr>
                <w:color w:val="000000"/>
                <w:sz w:val="20"/>
                <w:szCs w:val="20"/>
              </w:rPr>
              <w:t>¿El repositorio tiene que ser público?</w:t>
            </w:r>
          </w:p>
        </w:tc>
        <w:tc>
          <w:tcPr>
            <w:tcW w:w="5560" w:type="dxa"/>
            <w:tcBorders>
              <w:top w:val="single" w:sz="4" w:space="0" w:color="000000"/>
              <w:start w:val="single" w:sz="4" w:space="0" w:color="000000"/>
              <w:bottom w:val="single" w:sz="4" w:space="0" w:color="000000"/>
              <w:end w:val="single" w:sz="4" w:space="0" w:color="000000"/>
            </w:tcBorders>
          </w:tcPr>
          <w:p>
            <w:pPr>
              <w:pStyle w:val="Normal"/>
              <w:rPr/>
            </w:pPr>
            <w:r>
              <w:rPr>
                <w:color w:val="000000"/>
                <w:sz w:val="20"/>
                <w:szCs w:val="20"/>
              </w:rPr>
              <w:t>Puede ser público o privado; si es privado, agreguen a la profesora como colaboradora.</w:t>
            </w:r>
          </w:p>
        </w:tc>
      </w:tr>
      <w:tr>
        <w:trPr/>
        <w:tc>
          <w:tcPr>
            <w:tcW w:w="3800" w:type="dxa"/>
            <w:tcBorders>
              <w:top w:val="single" w:sz="4" w:space="0" w:color="000000"/>
              <w:start w:val="single" w:sz="4" w:space="0" w:color="000000"/>
              <w:bottom w:val="single" w:sz="4" w:space="0" w:color="000000"/>
              <w:end w:val="single" w:sz="4" w:space="0" w:color="000000"/>
            </w:tcBorders>
          </w:tcPr>
          <w:p>
            <w:pPr>
              <w:pStyle w:val="Normal"/>
              <w:rPr/>
            </w:pPr>
            <w:r>
              <w:rPr>
                <w:color w:val="000000"/>
                <w:sz w:val="20"/>
                <w:szCs w:val="20"/>
              </w:rPr>
              <w:t>¿Puedo trabajar solo con una fuente por ahora?</w:t>
            </w:r>
          </w:p>
        </w:tc>
        <w:tc>
          <w:tcPr>
            <w:tcW w:w="5560" w:type="dxa"/>
            <w:tcBorders>
              <w:top w:val="single" w:sz="4" w:space="0" w:color="000000"/>
              <w:start w:val="single" w:sz="4" w:space="0" w:color="000000"/>
              <w:bottom w:val="single" w:sz="4" w:space="0" w:color="000000"/>
              <w:end w:val="single" w:sz="4" w:space="0" w:color="000000"/>
            </w:tcBorders>
          </w:tcPr>
          <w:p>
            <w:pPr>
              <w:pStyle w:val="Normal"/>
              <w:rPr/>
            </w:pPr>
            <w:r>
              <w:rPr>
                <w:color w:val="000000"/>
                <w:sz w:val="20"/>
                <w:szCs w:val="20"/>
              </w:rPr>
              <w:t>Para esta entrega identifiquen al menos 2 posibles, aunque todavía no las hayan descargado — eso es la Unidad 2.</w:t>
            </w:r>
          </w:p>
        </w:tc>
      </w:tr>
    </w:tbl>
    <w:p>
      <w:pPr>
        <w:pStyle w:val="Normal"/>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Liberation Sans">
    <w:altName w:val="Arial"/>
    <w:charset w:val="00" w:characterSet="windows-1252"/>
    <w:family w:val="swiss"/>
    <w:pitch w:val="variable"/>
  </w:font>
  <w:font w:name="Consolas">
    <w:charset w:val="00" w:characterSet="windows-1252"/>
    <w:family w:val="swiss"/>
    <w:pitch w:val="variable"/>
  </w:font>
  <w:font w:name="Wingdings">
    <w:charset w:val="02"/>
    <w:family w:val="auto"/>
    <w:pitch w:val="variable"/>
  </w:font>
  <w:font w:name="Wingdings 2">
    <w:charset w:val="02"/>
    <w:family w:val="roman"/>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CO"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s-CO" w:eastAsia="es-CO"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Calibri" w:hAnsi="Calibri" w:eastAsia="Calibri" w:cs="Calibri"/>
      <w:color w:val="auto"/>
      <w:kern w:val="0"/>
      <w:sz w:val="22"/>
      <w:szCs w:val="22"/>
      <w:lang w:val="es-CO" w:eastAsia="es-CO" w:bidi="ar-SA"/>
    </w:rPr>
  </w:style>
  <w:style w:type="paragraph" w:styleId="Heading1">
    <w:name w:val="heading 1"/>
    <w:uiPriority w:val="9"/>
    <w:qFormat/>
    <w:pPr>
      <w:widowControl/>
      <w:suppressAutoHyphens w:val="true"/>
      <w:bidi w:val="0"/>
      <w:spacing w:before="0" w:after="0"/>
      <w:jc w:val="start"/>
      <w:outlineLvl w:val="0"/>
    </w:pPr>
    <w:rPr>
      <w:rFonts w:ascii="Calibri" w:hAnsi="Calibri" w:eastAsia="Calibri" w:cs="Calibri"/>
      <w:color w:val="2E74B5"/>
      <w:kern w:val="0"/>
      <w:sz w:val="32"/>
      <w:szCs w:val="32"/>
      <w:lang w:val="es-CO" w:eastAsia="es-CO" w:bidi="ar-SA"/>
    </w:rPr>
  </w:style>
  <w:style w:type="paragraph" w:styleId="Heading2">
    <w:name w:val="heading 2"/>
    <w:uiPriority w:val="9"/>
    <w:unhideWhenUsed/>
    <w:qFormat/>
    <w:pPr>
      <w:widowControl/>
      <w:suppressAutoHyphens w:val="true"/>
      <w:bidi w:val="0"/>
      <w:spacing w:before="0" w:after="0"/>
      <w:jc w:val="start"/>
      <w:outlineLvl w:val="1"/>
    </w:pPr>
    <w:rPr>
      <w:rFonts w:ascii="Calibri" w:hAnsi="Calibri" w:eastAsia="Calibri" w:cs="Calibri"/>
      <w:color w:val="2E74B5"/>
      <w:kern w:val="0"/>
      <w:sz w:val="26"/>
      <w:szCs w:val="26"/>
      <w:lang w:val="es-CO" w:eastAsia="es-CO" w:bidi="ar-SA"/>
    </w:rPr>
  </w:style>
  <w:style w:type="paragraph" w:styleId="Heading3">
    <w:name w:val="heading 3"/>
    <w:uiPriority w:val="9"/>
    <w:unhideWhenUsed/>
    <w:qFormat/>
    <w:pPr>
      <w:widowControl/>
      <w:suppressAutoHyphens w:val="true"/>
      <w:bidi w:val="0"/>
      <w:spacing w:before="0" w:after="0"/>
      <w:jc w:val="start"/>
      <w:outlineLvl w:val="2"/>
    </w:pPr>
    <w:rPr>
      <w:rFonts w:ascii="Calibri" w:hAnsi="Calibri" w:eastAsia="Calibri" w:cs="Calibri"/>
      <w:color w:val="1F4D78"/>
      <w:kern w:val="0"/>
      <w:sz w:val="24"/>
      <w:szCs w:val="24"/>
      <w:lang w:val="es-CO" w:eastAsia="es-CO" w:bidi="ar-SA"/>
    </w:rPr>
  </w:style>
  <w:style w:type="paragraph" w:styleId="Heading4">
    <w:name w:val="heading 4"/>
    <w:uiPriority w:val="9"/>
    <w:semiHidden/>
    <w:unhideWhenUsed/>
    <w:qFormat/>
    <w:pPr>
      <w:widowControl/>
      <w:suppressAutoHyphens w:val="true"/>
      <w:bidi w:val="0"/>
      <w:spacing w:before="0" w:after="0"/>
      <w:jc w:val="start"/>
      <w:outlineLvl w:val="3"/>
    </w:pPr>
    <w:rPr>
      <w:rFonts w:ascii="Calibri" w:hAnsi="Calibri" w:eastAsia="Calibri" w:cs="Calibri"/>
      <w:i/>
      <w:iCs/>
      <w:color w:val="2E74B5"/>
      <w:kern w:val="0"/>
      <w:sz w:val="22"/>
      <w:szCs w:val="22"/>
      <w:lang w:val="es-CO" w:eastAsia="es-CO" w:bidi="ar-SA"/>
    </w:rPr>
  </w:style>
  <w:style w:type="paragraph" w:styleId="Heading5">
    <w:name w:val="heading 5"/>
    <w:uiPriority w:val="9"/>
    <w:semiHidden/>
    <w:unhideWhenUsed/>
    <w:qFormat/>
    <w:pPr>
      <w:widowControl/>
      <w:suppressAutoHyphens w:val="true"/>
      <w:bidi w:val="0"/>
      <w:spacing w:before="0" w:after="0"/>
      <w:jc w:val="start"/>
      <w:outlineLvl w:val="4"/>
    </w:pPr>
    <w:rPr>
      <w:rFonts w:ascii="Calibri" w:hAnsi="Calibri" w:eastAsia="Calibri" w:cs="Calibri"/>
      <w:color w:val="2E74B5"/>
      <w:kern w:val="0"/>
      <w:sz w:val="22"/>
      <w:szCs w:val="22"/>
      <w:lang w:val="es-CO" w:eastAsia="es-CO" w:bidi="ar-SA"/>
    </w:rPr>
  </w:style>
  <w:style w:type="paragraph" w:styleId="Heading6">
    <w:name w:val="heading 6"/>
    <w:uiPriority w:val="9"/>
    <w:semiHidden/>
    <w:unhideWhenUsed/>
    <w:qFormat/>
    <w:pPr>
      <w:widowControl/>
      <w:suppressAutoHyphens w:val="true"/>
      <w:bidi w:val="0"/>
      <w:spacing w:before="0" w:after="0"/>
      <w:jc w:val="start"/>
      <w:outlineLvl w:val="5"/>
    </w:pPr>
    <w:rPr>
      <w:rFonts w:ascii="Calibri" w:hAnsi="Calibri" w:eastAsia="Calibri" w:cs="Calibri"/>
      <w:color w:val="1F4D78"/>
      <w:kern w:val="0"/>
      <w:sz w:val="22"/>
      <w:szCs w:val="22"/>
      <w:lang w:val="es-CO" w:eastAsia="es-CO"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Caracteresdenotaalpieuser">
    <w:name w:val="Caracteres de nota al pie (user)"/>
    <w:uiPriority w:val="99"/>
    <w:semiHidden/>
    <w:unhideWhenUsed/>
    <w:qFormat/>
    <w:rPr>
      <w:vertAlign w:val="superscript"/>
    </w:rPr>
  </w:style>
  <w:style w:type="character" w:styleId="Caracteresdenotaalpie">
    <w:name w:val="Caracteres de nota al pie"/>
    <w:qFormat/>
    <w:rPr>
      <w:vertAlign w:val="superscript"/>
    </w:rPr>
  </w:style>
  <w:style w:type="character" w:styleId="FootnoteReference">
    <w:name w:val="footnote reference"/>
    <w:rPr>
      <w:vertAlign w:val="superscript"/>
    </w:rPr>
  </w:style>
  <w:style w:type="character" w:styleId="TextonotapieCar" w:customStyle="1">
    <w:name w:val="Texto nota pie Car"/>
    <w:uiPriority w:val="99"/>
    <w:semiHidden/>
    <w:unhideWhenUsed/>
    <w:qFormat/>
    <w:rPr>
      <w:sz w:val="20"/>
      <w:szCs w:val="20"/>
    </w:rPr>
  </w:style>
  <w:style w:type="character" w:styleId="Caracteresdenotafinaluser">
    <w:name w:val="Caracteres de nota final (user)"/>
    <w:uiPriority w:val="99"/>
    <w:semiHidden/>
    <w:unhideWhenUsed/>
    <w:qFormat/>
    <w:rPr>
      <w:vertAlign w:val="superscript"/>
    </w:rPr>
  </w:style>
  <w:style w:type="character" w:styleId="Caracteresdenotafinal">
    <w:name w:val="Caracteres de nota final"/>
    <w:qFormat/>
    <w:rPr>
      <w:vertAlign w:val="superscript"/>
    </w:rPr>
  </w:style>
  <w:style w:type="character" w:styleId="EndnoteReference">
    <w:name w:val="endnote reference"/>
    <w:rPr>
      <w:vertAlign w:val="superscript"/>
    </w:rPr>
  </w:style>
  <w:style w:type="character" w:styleId="TextonotaalfinalCar" w:customStyle="1">
    <w:name w:val="Texto nota al final Car"/>
    <w:uiPriority w:val="99"/>
    <w:semiHidden/>
    <w:unhideWhenUsed/>
    <w:qFormat/>
    <w:rPr>
      <w:sz w:val="20"/>
      <w:szCs w:val="20"/>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 w:type="paragraph" w:styleId="Title">
    <w:name w:val="Title"/>
    <w:uiPriority w:val="10"/>
    <w:qFormat/>
    <w:pPr>
      <w:widowControl/>
      <w:suppressAutoHyphens w:val="true"/>
      <w:bidi w:val="0"/>
      <w:spacing w:before="0" w:after="0"/>
      <w:jc w:val="start"/>
    </w:pPr>
    <w:rPr>
      <w:rFonts w:ascii="Calibri" w:hAnsi="Calibri" w:eastAsia="Calibri" w:cs="Calibri"/>
      <w:color w:val="auto"/>
      <w:kern w:val="0"/>
      <w:sz w:val="56"/>
      <w:szCs w:val="56"/>
      <w:lang w:val="es-CO" w:eastAsia="es-CO" w:bidi="ar-SA"/>
    </w:rPr>
  </w:style>
  <w:style w:type="paragraph" w:styleId="Fuerte1" w:customStyle="1">
    <w:name w:val="Fuerte1"/>
    <w:qFormat/>
    <w:pPr>
      <w:widowControl/>
      <w:suppressAutoHyphens w:val="true"/>
      <w:bidi w:val="0"/>
      <w:spacing w:before="0" w:after="0"/>
      <w:jc w:val="start"/>
    </w:pPr>
    <w:rPr>
      <w:rFonts w:ascii="Calibri" w:hAnsi="Calibri" w:eastAsia="Calibri" w:cs="Calibri"/>
      <w:b/>
      <w:bCs/>
      <w:color w:val="auto"/>
      <w:kern w:val="0"/>
      <w:sz w:val="22"/>
      <w:szCs w:val="22"/>
      <w:lang w:val="es-CO" w:eastAsia="es-CO" w:bidi="ar-SA"/>
    </w:rPr>
  </w:style>
  <w:style w:type="paragraph" w:styleId="ListParagraph">
    <w:name w:val="List Paragraph"/>
    <w:qFormat/>
    <w:pPr>
      <w:widowControl/>
      <w:suppressAutoHyphens w:val="true"/>
      <w:bidi w:val="0"/>
      <w:spacing w:before="0" w:after="0"/>
      <w:jc w:val="start"/>
    </w:pPr>
    <w:rPr>
      <w:rFonts w:ascii="Calibri" w:hAnsi="Calibri" w:eastAsia="Calibri" w:cs="Calibri"/>
      <w:color w:val="auto"/>
      <w:kern w:val="0"/>
      <w:sz w:val="22"/>
      <w:szCs w:val="22"/>
      <w:lang w:val="es-CO" w:eastAsia="es-CO" w:bidi="ar-SA"/>
    </w:rPr>
  </w:style>
  <w:style w:type="paragraph" w:styleId="FootnoteText">
    <w:name w:val="footnote text"/>
    <w:link w:val="TextonotapieCar"/>
    <w:uiPriority w:val="99"/>
    <w:semiHidden/>
    <w:unhideWhenUsed/>
    <w:pPr>
      <w:widowControl/>
      <w:suppressAutoHyphens w:val="true"/>
      <w:bidi w:val="0"/>
      <w:spacing w:before="0" w:after="0"/>
      <w:jc w:val="start"/>
    </w:pPr>
    <w:rPr>
      <w:rFonts w:ascii="Calibri" w:hAnsi="Calibri" w:eastAsia="Calibri" w:cs="Calibri"/>
      <w:color w:val="auto"/>
      <w:kern w:val="0"/>
      <w:sz w:val="20"/>
      <w:szCs w:val="20"/>
      <w:lang w:val="es-CO" w:eastAsia="es-CO" w:bidi="ar-SA"/>
    </w:rPr>
  </w:style>
  <w:style w:type="paragraph" w:styleId="EndnoteText">
    <w:name w:val="endnote text"/>
    <w:link w:val="TextonotaalfinalCar"/>
    <w:uiPriority w:val="99"/>
    <w:semiHidden/>
    <w:unhideWhenUsed/>
    <w:pPr>
      <w:widowControl/>
      <w:suppressAutoHyphens w:val="true"/>
      <w:bidi w:val="0"/>
      <w:spacing w:before="0" w:after="0"/>
      <w:jc w:val="start"/>
    </w:pPr>
    <w:rPr>
      <w:rFonts w:ascii="Calibri" w:hAnsi="Calibri" w:eastAsia="Calibri" w:cs="Calibri"/>
      <w:color w:val="auto"/>
      <w:kern w:val="0"/>
      <w:sz w:val="20"/>
      <w:szCs w:val="20"/>
      <w:lang w:val="es-CO" w:eastAsia="es-CO" w:bidi="ar-SA"/>
    </w:rPr>
  </w:style>
  <w:style w:type="numbering" w:styleId="Ningunalistauser" w:default="1">
    <w:name w:val="Ninguna lista (user)"/>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65</TotalTime>
  <Application>LibreOffice/26.2.5.2$Windows_X86_64 LibreOffice_project/cd7284b4cbbfeb507e630c1aac019f4157393acb</Application>
  <AppVersion>15.0000</AppVersion>
  <Pages>7</Pages>
  <Words>2573</Words>
  <Characters>13705</Characters>
  <CharactersWithSpaces>16138</CharactersWithSpaces>
  <Paragraphs>148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2026-09-11T05:01:00Z</dcterms:created>
  <dc:creator>Un-named</dc:creator>
  <dc:description/>
  <dc:language>es-ES</dc:language>
  <cp:lastModifiedBy/>
  <dcterms:modified xsi:type="dcterms:W3CDTF">2026-09-13T14:03:49Z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