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jc w:val="right"/>
      </w:pPr>
      <w:r>
        <w:rPr>
          <w:rFonts w:ascii="Times New Roman" w:hAnsi="Times New Roman"/>
          <w:b w:val="0"/>
          <w:i w:val="0"/>
          <w:color w:val="000000"/>
          <w:sz w:val="24"/>
        </w:rPr>
        <w:t>Junsuk Kang, Ph.D.</w:t>
      </w:r>
    </w:p>
    <w:p>
      <w:pPr>
        <w:spacing w:after="40" w:before="0" w:line="240" w:lineRule="auto"/>
        <w:jc w:val="right"/>
      </w:pPr>
      <w:r>
        <w:rPr>
          <w:rFonts w:ascii="Times New Roman" w:hAnsi="Times New Roman"/>
          <w:b w:val="0"/>
          <w:i w:val="0"/>
          <w:color w:val="000000"/>
          <w:sz w:val="24"/>
        </w:rPr>
        <w:t>Department of Landscape Architecture and Rural Systems Engineering</w:t>
      </w:r>
    </w:p>
    <w:p>
      <w:pPr>
        <w:spacing w:after="40" w:before="0" w:line="240" w:lineRule="auto"/>
        <w:jc w:val="right"/>
      </w:pPr>
      <w:r>
        <w:rPr>
          <w:rFonts w:ascii="Times New Roman" w:hAnsi="Times New Roman"/>
          <w:b w:val="0"/>
          <w:i w:val="0"/>
          <w:color w:val="000000"/>
          <w:sz w:val="24"/>
        </w:rPr>
        <w:t>Seoul National University</w:t>
      </w:r>
    </w:p>
    <w:p>
      <w:pPr>
        <w:spacing w:after="40" w:before="0" w:line="240" w:lineRule="auto"/>
        <w:jc w:val="right"/>
      </w:pPr>
      <w:r>
        <w:rPr>
          <w:rFonts w:ascii="Times New Roman" w:hAnsi="Times New Roman"/>
          <w:b w:val="0"/>
          <w:i w:val="0"/>
          <w:color w:val="000000"/>
          <w:sz w:val="24"/>
        </w:rPr>
        <w:t>1 Gwanak-ro, Gwanak-gu, Seoul 08826, Republic of Korea</w:t>
      </w:r>
    </w:p>
    <w:p>
      <w:pPr>
        <w:spacing w:after="40" w:before="0" w:line="240" w:lineRule="auto"/>
        <w:jc w:val="right"/>
      </w:pPr>
      <w:r>
        <w:rPr>
          <w:rFonts w:ascii="Times New Roman" w:hAnsi="Times New Roman"/>
          <w:b w:val="0"/>
          <w:i w:val="0"/>
          <w:color w:val="000000"/>
          <w:sz w:val="24"/>
        </w:rPr>
        <w:t>junkang@snu.ac.kr  |  +82-2-880-4872</w:t>
      </w:r>
    </w:p>
    <w:p>
      <w:pPr>
        <w:spacing w:after="120" w:before="0" w:line="276" w:lineRule="auto"/>
        <w:jc w:val="left"/>
      </w:pPr>
    </w:p>
    <w:p>
      <w:pPr>
        <w:spacing w:after="360" w:before="0" w:line="240" w:lineRule="auto"/>
        <w:jc w:val="right"/>
      </w:pPr>
      <w:r>
        <w:rPr>
          <w:rFonts w:ascii="Times New Roman" w:hAnsi="Times New Roman"/>
          <w:b w:val="0"/>
          <w:i w:val="0"/>
          <w:color w:val="000000"/>
          <w:sz w:val="24"/>
        </w:rPr>
        <w:t>May 09, 2026</w:t>
      </w:r>
    </w:p>
    <w:p>
      <w:pPr>
        <w:spacing w:after="40" w:before="0" w:line="240" w:lineRule="auto"/>
        <w:jc w:val="left"/>
      </w:pPr>
      <w:r>
        <w:rPr>
          <w:rFonts w:ascii="Times New Roman" w:hAnsi="Times New Roman"/>
          <w:b w:val="0"/>
          <w:i w:val="0"/>
          <w:color w:val="000000"/>
          <w:sz w:val="24"/>
        </w:rPr>
        <w:t>The Editor-in-Chief</w:t>
      </w:r>
    </w:p>
    <w:p>
      <w:pPr>
        <w:spacing w:after="40" w:before="0" w:line="240" w:lineRule="auto"/>
        <w:jc w:val="left"/>
      </w:pPr>
      <w:r>
        <w:rPr>
          <w:rFonts w:ascii="Times New Roman" w:hAnsi="Times New Roman"/>
          <w:b w:val="0"/>
          <w:i w:val="0"/>
          <w:color w:val="000000"/>
          <w:sz w:val="24"/>
        </w:rPr>
        <w:t>Trees - Structure and Function</w:t>
      </w:r>
    </w:p>
    <w:p>
      <w:pPr>
        <w:spacing w:after="40" w:before="0" w:line="240" w:lineRule="auto"/>
        <w:jc w:val="left"/>
      </w:pPr>
      <w:r>
        <w:rPr>
          <w:rFonts w:ascii="Times New Roman" w:hAnsi="Times New Roman"/>
          <w:b w:val="0"/>
          <w:i w:val="0"/>
          <w:color w:val="000000"/>
          <w:sz w:val="24"/>
        </w:rPr>
        <w:t>Springer Nature</w:t>
      </w:r>
    </w:p>
    <w:p>
      <w:pPr>
        <w:spacing w:after="120" w:before="0" w:line="276" w:lineRule="auto"/>
        <w:jc w:val="left"/>
      </w:pPr>
    </w:p>
    <w:p>
      <w:pPr>
        <w:spacing w:after="280" w:before="0" w:line="276" w:lineRule="auto"/>
        <w:jc w:val="left"/>
      </w:pPr>
      <w:r>
        <w:rPr>
          <w:rFonts w:ascii="Times New Roman" w:hAnsi="Times New Roman"/>
          <w:b/>
          <w:i w:val="0"/>
          <w:color w:val="000000"/>
          <w:sz w:val="24"/>
        </w:rPr>
        <w:t>Manuscript submission: “Probabilistic Eccentric Decay Geometry: Monte Carlo Confidence Intervals on the Wind-Fatigue Life of Urban Street Trees”</w:t>
      </w:r>
    </w:p>
    <w:p>
      <w:pPr>
        <w:spacing w:after="240" w:before="0" w:line="276" w:lineRule="auto"/>
        <w:jc w:val="left"/>
      </w:pPr>
      <w:r>
        <w:rPr>
          <w:rFonts w:ascii="Times New Roman" w:hAnsi="Times New Roman"/>
          <w:b w:val="0"/>
          <w:i w:val="0"/>
          <w:color w:val="000000"/>
          <w:sz w:val="24"/>
        </w:rPr>
        <w:t>Dear Editor,</w:t>
      </w:r>
    </w:p>
    <w:p>
      <w:pPr>
        <w:spacing w:after="200" w:before="0" w:line="276" w:lineRule="auto"/>
        <w:jc w:val="left"/>
      </w:pPr>
      <w:r>
        <w:rPr>
          <w:rFonts w:ascii="Times New Roman" w:hAnsi="Times New Roman"/>
          <w:b w:val="0"/>
          <w:i w:val="0"/>
          <w:color w:val="000000"/>
          <w:sz w:val="24"/>
        </w:rPr>
        <w:t xml:space="preserve">I am pleased to submit the enclosed manuscript, “Probabilistic Eccentric Decay Geometry: Monte Carlo Confidence Intervals on the Wind-Fatigue Life of Urban Street Trees,” for consideration as an Original Article in </w:t>
      </w:r>
      <w:r>
        <w:rPr>
          <w:rFonts w:ascii="Times New Roman" w:hAnsi="Times New Roman"/>
          <w:b w:val="0"/>
          <w:i/>
          <w:color w:val="000000"/>
          <w:sz w:val="24"/>
        </w:rPr>
        <w:t>Trees - Structure and Function</w:t>
      </w:r>
      <w:r>
        <w:rPr>
          <w:rFonts w:ascii="Times New Roman" w:hAnsi="Times New Roman"/>
          <w:b w:val="0"/>
          <w:i w:val="0"/>
          <w:color w:val="000000"/>
          <w:sz w:val="24"/>
        </w:rPr>
        <w:t xml:space="preserve">. The manuscript is the second in a planned two-part series; the companion paper (Kang 2026, hereafter Paper I) is currently in press at </w:t>
      </w:r>
      <w:r>
        <w:rPr>
          <w:rFonts w:ascii="Times New Roman" w:hAnsi="Times New Roman"/>
          <w:b w:val="0"/>
          <w:i/>
          <w:color w:val="000000"/>
          <w:sz w:val="24"/>
        </w:rPr>
        <w:t>Trees - Structure and Function</w:t>
      </w:r>
      <w:r>
        <w:rPr>
          <w:rFonts w:ascii="Times New Roman" w:hAnsi="Times New Roman"/>
          <w:b w:val="0"/>
          <w:i w:val="0"/>
          <w:color w:val="000000"/>
          <w:sz w:val="24"/>
        </w:rPr>
        <w:t xml:space="preserve"> and establishes the deterministic absolute-life framework that the present paper extends to a probabilistic setting.</w:t>
      </w:r>
    </w:p>
    <w:p>
      <w:pPr>
        <w:spacing w:after="200" w:before="0" w:line="276" w:lineRule="auto"/>
        <w:jc w:val="left"/>
      </w:pPr>
      <w:r>
        <w:rPr>
          <w:rFonts w:ascii="Times New Roman" w:hAnsi="Times New Roman"/>
          <w:b w:val="0"/>
          <w:i w:val="0"/>
          <w:color w:val="000000"/>
          <w:sz w:val="24"/>
        </w:rPr>
        <w:t xml:space="preserve">Paper I demonstrated that the realistic failure mode of urban street trees is </w:t>
      </w:r>
      <w:r>
        <w:rPr>
          <w:rFonts w:ascii="Times New Roman" w:hAnsi="Times New Roman"/>
          <w:b w:val="0"/>
          <w:i/>
          <w:color w:val="000000"/>
          <w:sz w:val="24"/>
        </w:rPr>
        <w:t>decay-accelerated low-cycle fatigue</w:t>
      </w:r>
      <w:r>
        <w:rPr>
          <w:rFonts w:ascii="Times New Roman" w:hAnsi="Times New Roman"/>
          <w:b w:val="0"/>
          <w:i w:val="0"/>
          <w:color w:val="000000"/>
          <w:sz w:val="24"/>
        </w:rPr>
        <w:t xml:space="preserve"> rather than the high-cycle fatigue of sound wood, and identified the Mattheck threshold r_d/R = 0.7 as the point at which lower-bound fatigue life drops below 1.7 years in Seoul. Paper I, however, retains the classical concentric hollow-cylinder decay model (Mattheck and Breloer 1994), which assumes circular cavities centred on the stem axis. Field tomography surveys consistently show that real cavities are eccentric, irregular, and frequently elongated. Paper I (Section 4.5, fifth limitation) explicitly identifies this as a non-conservatism that warrants probabilistic treatment and recommends the present study as the natural follow-on.</w:t>
      </w:r>
    </w:p>
    <w:p>
      <w:pPr>
        <w:spacing w:after="200" w:before="0" w:line="276" w:lineRule="auto"/>
        <w:jc w:val="left"/>
      </w:pPr>
      <w:r>
        <w:rPr>
          <w:rFonts w:ascii="Times New Roman" w:hAnsi="Times New Roman"/>
          <w:b w:val="0"/>
          <w:i w:val="0"/>
          <w:color w:val="000000"/>
          <w:sz w:val="24"/>
        </w:rPr>
        <w:t>This manuscript closes that gap. The principal contributions are:</w:t>
      </w:r>
    </w:p>
    <w:p>
      <w:pPr>
        <w:spacing w:after="160" w:before="0" w:line="276" w:lineRule="auto"/>
        <w:jc w:val="left"/>
      </w:pPr>
      <w:r>
        <w:rPr>
          <w:rFonts w:ascii="Times New Roman" w:hAnsi="Times New Roman"/>
          <w:b w:val="0"/>
          <w:i w:val="0"/>
          <w:color w:val="000000"/>
          <w:sz w:val="24"/>
        </w:rPr>
        <w:t>(1) a vectorisable, analytically grounded framework for arbitrary eccentric and elliptical decay cavities, verified against the Mattheck (1994) concentric formula to machine precision and against a Cartesian grid integration to better than 0.5 %;</w:t>
      </w:r>
    </w:p>
    <w:p>
      <w:pPr>
        <w:spacing w:after="160" w:before="0" w:line="276" w:lineRule="auto"/>
        <w:jc w:val="left"/>
      </w:pPr>
      <w:r>
        <w:rPr>
          <w:rFonts w:ascii="Times New Roman" w:hAnsi="Times New Roman"/>
          <w:b w:val="0"/>
          <w:i w:val="0"/>
          <w:color w:val="000000"/>
          <w:sz w:val="24"/>
        </w:rPr>
        <w:t>(2) a 30-scenario Monte Carlo sweep (5 decay levels x 3 wind distributions x 2 S-N curves, n = 10,000 each) anchored to the calibrated absolute-life pipeline of Paper I, yielding the first probabilistic confidence intervals on fatigue life for decayed urban street trees;</w:t>
      </w:r>
    </w:p>
    <w:p>
      <w:pPr>
        <w:spacing w:after="160" w:before="0" w:line="276" w:lineRule="auto"/>
        <w:jc w:val="left"/>
      </w:pPr>
      <w:r>
        <w:rPr>
          <w:rFonts w:ascii="Times New Roman" w:hAnsi="Times New Roman"/>
          <w:b w:val="0"/>
          <w:i w:val="0"/>
          <w:color w:val="000000"/>
          <w:sz w:val="24"/>
        </w:rPr>
        <w:t xml:space="preserve">(3) a wind-direction </w:t>
      </w:r>
      <w:r>
        <w:rPr>
          <w:rFonts w:ascii="Times New Roman" w:hAnsi="Times New Roman"/>
          <w:b w:val="0"/>
          <w:i/>
          <w:color w:val="000000"/>
          <w:sz w:val="24"/>
        </w:rPr>
        <w:t>collapse</w:t>
      </w:r>
      <w:r>
        <w:rPr>
          <w:rFonts w:ascii="Times New Roman" w:hAnsi="Times New Roman"/>
          <w:b w:val="0"/>
          <w:i w:val="0"/>
          <w:color w:val="000000"/>
          <w:sz w:val="24"/>
        </w:rPr>
        <w:t xml:space="preserve"> result — demonstrated analytically and numerically — showing that under independent uniform priors on cavity orientation, the wind-rose distribution does not propagate into the life-ratio correction, identifying cavity-geometry tomography rather than site-specific wind data as the priority empirical input;</w:t>
      </w:r>
    </w:p>
    <w:p>
      <w:pPr>
        <w:spacing w:after="160" w:before="0" w:line="276" w:lineRule="auto"/>
        <w:jc w:val="left"/>
      </w:pPr>
      <w:r>
        <w:rPr>
          <w:rFonts w:ascii="Times New Roman" w:hAnsi="Times New Roman"/>
          <w:b w:val="0"/>
          <w:i w:val="0"/>
          <w:color w:val="000000"/>
          <w:sz w:val="24"/>
        </w:rPr>
        <w:t>(4) an independent validation against ABAQUS Standard 2026 (CPS4R plane-stress elements, ~ 15,000 elements per case) for six representative cross-sections, establishing agreement to within 0.08 %;</w:t>
      </w:r>
    </w:p>
    <w:p>
      <w:pPr>
        <w:spacing w:after="160" w:before="0" w:line="276" w:lineRule="auto"/>
        <w:jc w:val="left"/>
      </w:pPr>
      <w:r>
        <w:rPr>
          <w:rFonts w:ascii="Times New Roman" w:hAnsi="Times New Roman"/>
          <w:b w:val="0"/>
          <w:i w:val="0"/>
          <w:color w:val="000000"/>
          <w:sz w:val="24"/>
        </w:rPr>
        <w:t>(5) a policy-ready risk-based inspection matrix for three Korean wind regimes that is directly actionable by municipal forestry departments.</w:t>
      </w:r>
    </w:p>
    <w:p>
      <w:pPr>
        <w:spacing w:after="80" w:before="0" w:line="276" w:lineRule="auto"/>
        <w:jc w:val="left"/>
      </w:pPr>
    </w:p>
    <w:p>
      <w:pPr>
        <w:spacing w:after="200" w:before="0" w:line="276" w:lineRule="auto"/>
        <w:jc w:val="left"/>
      </w:pPr>
      <w:r>
        <w:rPr>
          <w:rFonts w:ascii="Times New Roman" w:hAnsi="Times New Roman"/>
          <w:b w:val="0"/>
          <w:i w:val="0"/>
          <w:color w:val="000000"/>
          <w:sz w:val="24"/>
        </w:rPr>
        <w:t xml:space="preserve">The headline numerical result is that, at the Mattheck threshold r_d/R = 0.7, the </w:t>
      </w:r>
      <w:r>
        <w:rPr>
          <w:rFonts w:ascii="Times New Roman" w:hAnsi="Times New Roman"/>
          <w:b w:val="0"/>
          <w:i/>
          <w:color w:val="000000"/>
          <w:sz w:val="24"/>
        </w:rPr>
        <w:t>median</w:t>
      </w:r>
      <w:r>
        <w:rPr>
          <w:rFonts w:ascii="Times New Roman" w:hAnsi="Times New Roman"/>
          <w:b w:val="0"/>
          <w:i w:val="0"/>
          <w:color w:val="000000"/>
          <w:sz w:val="24"/>
        </w:rPr>
        <w:t xml:space="preserve"> eccentric tree has a fatigue life of 25 % of the concentric Paper I estimate (lower-bound S-N), and the 5th-percentile tail is shorter by a factor of 47 to 143 depending on the S-N curve. This invalidates deterministic point estimates as the basis for risk-based management and motivates a percentile-driven inspection policy. We translate the result into a 3-region x 5-decay policy matrix that is, to our knowledge, the first probabilistically calibrated tree-risk schedule in the Korean context.</w:t>
      </w:r>
    </w:p>
    <w:p>
      <w:pPr>
        <w:spacing w:after="200" w:before="0" w:line="276" w:lineRule="auto"/>
        <w:jc w:val="left"/>
      </w:pPr>
      <w:r>
        <w:rPr>
          <w:rFonts w:ascii="Times New Roman" w:hAnsi="Times New Roman"/>
          <w:b w:val="0"/>
          <w:i w:val="0"/>
          <w:color w:val="000000"/>
          <w:sz w:val="24"/>
        </w:rPr>
        <w:t xml:space="preserve">The present manuscript is fully compatible with Paper I in three concrete senses: (i) the closed-form stress-amplification formula reduces to the Mattheck formula in the concentric limit to machine precision; (ii) absolute-life anchoring uses Paper I's Table 2 verbatim, treating Paper I's full pipeline as a calibrated baseline; and (iii) the eccentric correction acts as a multiplicative stress factor on the stress history, the same operator Paper I uses for concentric stress amplification. The two papers therefore form a logically nested pair: Paper I establishes the absolute-life pipeline, and the present paper supplies the geometry-uncertainty correction that maps the deterministic point estimates onto probabilistic confidence intervals. We respectfully suggest that the two manuscripts be considered as a planned series in </w:t>
      </w:r>
      <w:r>
        <w:rPr>
          <w:rFonts w:ascii="Times New Roman" w:hAnsi="Times New Roman"/>
          <w:b w:val="0"/>
          <w:i/>
          <w:color w:val="000000"/>
          <w:sz w:val="24"/>
        </w:rPr>
        <w:t>Trees - Structure and Function</w:t>
      </w:r>
      <w:r>
        <w:rPr>
          <w:rFonts w:ascii="Times New Roman" w:hAnsi="Times New Roman"/>
          <w:b w:val="0"/>
          <w:i w:val="0"/>
          <w:color w:val="000000"/>
          <w:sz w:val="24"/>
        </w:rPr>
        <w:t>.</w:t>
      </w:r>
    </w:p>
    <w:p>
      <w:pPr>
        <w:spacing w:after="200" w:before="0" w:line="276" w:lineRule="auto"/>
        <w:jc w:val="left"/>
      </w:pPr>
      <w:r>
        <w:rPr>
          <w:rFonts w:ascii="Times New Roman" w:hAnsi="Times New Roman"/>
          <w:b w:val="0"/>
          <w:i w:val="0"/>
          <w:color w:val="000000"/>
          <w:sz w:val="24"/>
        </w:rPr>
        <w:t xml:space="preserve">The manuscript fits squarely within the </w:t>
      </w:r>
      <w:r>
        <w:rPr>
          <w:rFonts w:ascii="Times New Roman" w:hAnsi="Times New Roman"/>
          <w:b w:val="0"/>
          <w:i/>
          <w:color w:val="000000"/>
          <w:sz w:val="24"/>
        </w:rPr>
        <w:t>Trees - Structure and Function</w:t>
      </w:r>
      <w:r>
        <w:rPr>
          <w:rFonts w:ascii="Times New Roman" w:hAnsi="Times New Roman"/>
          <w:b w:val="0"/>
          <w:i w:val="0"/>
          <w:color w:val="000000"/>
          <w:sz w:val="24"/>
        </w:rPr>
        <w:t xml:space="preserve"> scope: it is centred on tree biomechanics and explicitly couples experimentally observable cavity-geometry priors with structural fatigue prediction and arboricultural management practice. The risk matrix in Section 3.7 and the discussion of the implications for the Korean Tree Risk Management standard (Ministry of Land, Infrastructure and Transport 2019) make the manuscript directly relevant to the journal's professional readership in addition to its biomechanical-research audience.</w:t>
      </w:r>
    </w:p>
    <w:p>
      <w:pPr>
        <w:spacing w:after="200" w:before="0" w:line="276" w:lineRule="auto"/>
        <w:jc w:val="left"/>
      </w:pPr>
      <w:r>
        <w:rPr>
          <w:rFonts w:ascii="Times New Roman" w:hAnsi="Times New Roman"/>
          <w:b w:val="0"/>
          <w:i w:val="0"/>
          <w:color w:val="000000"/>
          <w:sz w:val="24"/>
        </w:rPr>
        <w:t>The manuscript represents original work that is not under consideration elsewhere. All Monte Carlo sample data, ABAQUS validation input files, and analysis scripts will be archived on GitHub at submission. The author has no competing interests to declare.</w:t>
      </w:r>
    </w:p>
    <w:p>
      <w:pPr>
        <w:spacing w:after="200" w:before="0" w:line="276" w:lineRule="auto"/>
        <w:jc w:val="left"/>
      </w:pPr>
      <w:r>
        <w:rPr>
          <w:rFonts w:ascii="Times New Roman" w:hAnsi="Times New Roman"/>
          <w:b w:val="0"/>
          <w:i w:val="0"/>
          <w:color w:val="000000"/>
          <w:sz w:val="24"/>
        </w:rPr>
        <w:t>If helpful, suggested reviewers with relevant expertise include (i) Prof. Klaus Mattheck (Karlsruhe Institute of Technology) on decay-mechanics modelling, (ii) Prof. Kenneth James (University of Melbourne) on tree dynamics and crown-stem coupling, and (iii) Dr. Frank Schwarze (EMPA) on wood-decay fungal mechanisms; we have no co-authored or institutional conflict with any of the above. The author is happy to suggest additional reviewers at the editor's request.</w:t>
      </w:r>
    </w:p>
    <w:p>
      <w:pPr>
        <w:spacing w:after="200" w:before="0" w:line="276" w:lineRule="auto"/>
        <w:jc w:val="left"/>
      </w:pPr>
      <w:r>
        <w:rPr>
          <w:rFonts w:ascii="Times New Roman" w:hAnsi="Times New Roman"/>
          <w:b w:val="0"/>
          <w:i w:val="0"/>
          <w:color w:val="000000"/>
          <w:sz w:val="24"/>
        </w:rPr>
        <w:t>Thank you for considering this manuscript. I look forward to your response and to working with the editorial team.</w:t>
      </w:r>
    </w:p>
    <w:p>
      <w:pPr>
        <w:spacing w:after="80" w:before="0" w:line="240" w:lineRule="auto"/>
        <w:jc w:val="left"/>
      </w:pPr>
    </w:p>
    <w:p>
      <w:pPr>
        <w:spacing w:after="80" w:before="0" w:line="240" w:lineRule="auto"/>
        <w:jc w:val="left"/>
      </w:pPr>
      <w:r>
        <w:rPr>
          <w:rFonts w:ascii="Times New Roman" w:hAnsi="Times New Roman"/>
          <w:b w:val="0"/>
          <w:i w:val="0"/>
          <w:color w:val="000000"/>
          <w:sz w:val="24"/>
        </w:rPr>
        <w:t>Sincerely,</w:t>
      </w:r>
    </w:p>
    <w:p>
      <w:pPr>
        <w:spacing w:after="80" w:before="0" w:line="240" w:lineRule="auto"/>
        <w:jc w:val="left"/>
      </w:pPr>
    </w:p>
    <w:p>
      <w:pPr>
        <w:spacing w:after="80" w:before="0" w:line="240" w:lineRule="auto"/>
        <w:jc w:val="left"/>
      </w:pPr>
    </w:p>
    <w:p>
      <w:pPr>
        <w:spacing w:after="80" w:before="0" w:line="240" w:lineRule="auto"/>
        <w:jc w:val="left"/>
      </w:pPr>
      <w:r>
        <w:rPr>
          <w:rFonts w:ascii="Times New Roman" w:hAnsi="Times New Roman"/>
          <w:b w:val="0"/>
          <w:i w:val="0"/>
          <w:color w:val="000000"/>
          <w:sz w:val="24"/>
        </w:rPr>
        <w:t>Junsuk Kang, Ph.D.</w:t>
      </w:r>
    </w:p>
    <w:p>
      <w:pPr>
        <w:spacing w:after="80" w:before="0" w:line="240" w:lineRule="auto"/>
        <w:jc w:val="left"/>
      </w:pPr>
      <w:r>
        <w:rPr>
          <w:rFonts w:ascii="Times New Roman" w:hAnsi="Times New Roman"/>
          <w:b w:val="0"/>
          <w:i w:val="0"/>
          <w:color w:val="000000"/>
          <w:sz w:val="24"/>
        </w:rPr>
        <w:t>Corresponding author</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