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69f9720ff0b8c7e67dd04e7548a1efbe08dba4"/>
    <w:p>
      <w:pPr>
        <w:pStyle w:val="Heading1"/>
        <w:spacing w:line="480" w:lineRule="auto"/>
      </w:pPr>
      <w:r>
        <w:rPr>
          <w:rFonts w:ascii="Times New Roman" w:hAnsi="Times New Roman" w:cs="Times New Roman"/>
          <w:b/>
          <w:color w:val="000000"/>
          <w:sz w:val="24"/>
        </w:rPr>
        <w:t xml:space="preserve">Probabilistic Eccentric Decay Geometry: Monte Carlo Confidence Intervals on the Wind-Fatigue Life of Urban Street Trees</w:t>
      </w:r>
    </w:p>
    <w:p>
      <w:pPr>
        <w:pStyle w:val="FirstParagraph"/>
        <w:spacing w:line="480" w:lineRule="auto"/>
      </w:pPr>
      <w:r>
        <w:rPr>
          <w:rFonts w:ascii="Times New Roman" w:hAnsi="Times New Roman" w:cs="Times New Roman"/>
          <w:b/>
          <w:bCs/>
          <w:color w:val="000000"/>
          <w:sz w:val="24"/>
        </w:rPr>
        <w:t xml:space="preserve">Junsuk Kang</w:t>
      </w:r>
      <w:r>
        <w:rPr>
          <w:rFonts w:ascii="Times New Roman" w:hAnsi="Times New Roman" w:cs="Times New Roman"/>
          <w:color w:val="000000"/>
          <w:sz w:val="24"/>
        </w:rPr>
        <w:t xml:space="preserve"> </w:t>
      </w:r>
      <w:r>
        <w:rPr>
          <w:rFonts w:ascii="Times New Roman" w:hAnsi="Times New Roman" w:cs="Times New Roman"/>
          <w:color w:val="000000"/>
          <w:sz w:val="24"/>
        </w:rPr>
        <w:t xml:space="preserve">ᵃᵇᶜᵈ *</w:t>
      </w:r>
    </w:p>
    <w:p>
      <w:pPr>
        <w:pStyle w:val="BodyText"/>
        <w:spacing w:line="480" w:lineRule="auto"/>
      </w:pPr>
      <w:r>
        <w:rPr>
          <w:rFonts w:ascii="Times New Roman" w:hAnsi="Times New Roman" w:cs="Times New Roman"/>
          <w:color w:val="000000"/>
          <w:sz w:val="24"/>
        </w:rPr>
        <w:t xml:space="preserve">ᵃ Interdisciplinary Program in Landscape Architecture, Seoul National University, Seoul 08826, Republic of Korea</w:t>
      </w:r>
      <w:r>
        <w:rPr>
          <w:rFonts w:ascii="Times New Roman" w:hAnsi="Times New Roman" w:cs="Times New Roman"/>
          <w:color w:val="000000"/>
          <w:sz w:val="24"/>
        </w:rPr>
        <w:t xml:space="preserve"> </w:t>
      </w:r>
      <w:r>
        <w:rPr>
          <w:rFonts w:ascii="Times New Roman" w:hAnsi="Times New Roman" w:cs="Times New Roman"/>
          <w:color w:val="000000"/>
          <w:sz w:val="24"/>
        </w:rPr>
        <w:t xml:space="preserve">ᵇ Transdisciplinary Program in Smart City Global Convergence, Seoul National University, Seoul 08826, Republic of Korea</w:t>
      </w:r>
      <w:r>
        <w:rPr>
          <w:rFonts w:ascii="Times New Roman" w:hAnsi="Times New Roman" w:cs="Times New Roman"/>
          <w:color w:val="000000"/>
          <w:sz w:val="24"/>
        </w:rPr>
        <w:t xml:space="preserve"> </w:t>
      </w:r>
      <w:r>
        <w:rPr>
          <w:rFonts w:ascii="Times New Roman" w:hAnsi="Times New Roman" w:cs="Times New Roman"/>
          <w:color w:val="000000"/>
          <w:sz w:val="24"/>
        </w:rPr>
        <w:t xml:space="preserve">ᶜ Department of Landscape Architecture and Rural Systems Engineering, Seoul National University, Seoul 08826, Republic of Korea</w:t>
      </w:r>
      <w:r>
        <w:rPr>
          <w:rFonts w:ascii="Times New Roman" w:hAnsi="Times New Roman" w:cs="Times New Roman"/>
          <w:color w:val="000000"/>
          <w:sz w:val="24"/>
        </w:rPr>
        <w:t xml:space="preserve"> </w:t>
      </w:r>
      <w:r>
        <w:rPr>
          <w:rFonts w:ascii="Times New Roman" w:hAnsi="Times New Roman" w:cs="Times New Roman"/>
          <w:color w:val="000000"/>
          <w:sz w:val="24"/>
        </w:rPr>
        <w:t xml:space="preserve">ᵈ Research Institute of Agriculture and Life Sciences, Seoul National University, Seoul 08826, Republic of Korea</w:t>
      </w:r>
    </w:p>
    <w:p>
      <w:pPr>
        <w:pStyle w:val="BodyText"/>
        <w:spacing w:line="480" w:lineRule="auto"/>
      </w:pPr>
      <w:r>
        <w:rPr>
          <w:rFonts w:ascii="Times New Roman" w:hAnsi="Times New Roman" w:cs="Times New Roman"/>
          <w:color w:val="000000"/>
          <w:sz w:val="24"/>
        </w:rPr>
        <w:t xml:space="preserve">* Correspondence: junkang@snu.ac.kr; Tel.: +82-2-880-4872</w:t>
      </w:r>
    </w:p>
    <w:p>
      <w:pPr>
        <w:spacing w:line="480" w:lineRule="auto"/>
      </w:pPr>
      <w:r>
        <w:rPr>
          <w:rFonts w:ascii="Times New Roman" w:hAnsi="Times New Roman" w:cs="Times New Roman"/>
          <w:color w:val="000000"/>
          <w:sz w:val="24"/>
        </w:rPr>
        <w:pict>
          <v:rect style="width:0;height:1.5pt" o:hralign="center" o:hrstd="t" o:hr="t"/>
        </w:pict>
      </w:r>
    </w:p>
    <w:bookmarkStart w:id="9" w:name="abstract"/>
    <w:p>
      <w:pPr>
        <w:pStyle w:val="Heading2"/>
        <w:spacing w:line="480" w:lineRule="auto"/>
      </w:pPr>
      <w:r>
        <w:rPr>
          <w:rFonts w:ascii="Times New Roman" w:hAnsi="Times New Roman" w:cs="Times New Roman"/>
          <w:b/>
          <w:color w:val="000000"/>
          <w:sz w:val="24"/>
        </w:rPr>
        <w:t xml:space="preserve">Abstract</w:t>
      </w:r>
    </w:p>
    <w:p>
      <w:pPr>
        <w:pStyle w:val="FirstParagraph"/>
        <w:spacing w:line="480" w:lineRule="auto"/>
      </w:pPr>
      <w:r>
        <w:rPr>
          <w:rFonts w:ascii="Times New Roman" w:hAnsi="Times New Roman" w:cs="Times New Roman"/>
          <w:color w:val="000000"/>
          <w:sz w:val="24"/>
        </w:rPr>
        <w:t xml:space="preserve">The classical concentric hollow-cylinder model of stem decay (Mattheck and Breloer 1994), reproduced in our earlier work (Kang 2026, hereafter Paper I), assumes that wood-decay cavities are circular and centred on the stem axis. Field tomography surveys show, however, that real cavities are eccentric, irregular, and frequently elongated. This paper relaxes the concentric assumption and quantifies, through a Monte Carlo framework, how cavity-geometry uncertainty propagates into uncertainty on wind-fatigue life. Closed-form section properties are derived for circular and elliptical cavities of arbitrary eccentricity, and a vectorisable stress-amplification function is verified to reproduce the Mattheck formula to machine precision in the concentric limit. Ten thousand cavity geometries are sampled per scenario from a Beta(2, 2) prior on normalised eccentricity and a uniform prior on cavity orientation; the resulting per-sample fatigue lives are anchored to Paper I’s calibrated absolute-life pipeline. The median fatigue life at the Mattheck threshold</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found to be 25 % of the concentric estimate (lower-bound S-N), and the 5th-percentile tail is shorter by a factor of 47. Wind-direction distributions (isotropic, Seoul empirical rose, Jeju empirical rose) collapse out under independent uniform cavity-orientation priors, leaving cavity geometry, not wind climate, as the dominant uncertainty source. A first-order Sobol decomposition shows that 99.6 % of the variance in the life ratio is explained by normalised eccentricity alone, providing a clear empirical priority for sonic-tomography surveys. A risk-based inspection policy keyed to the 5th-percentile lower bound rather than the deterministic concentric estimate is proposed and tabulated for three Korean wind regimes.</w:t>
      </w:r>
    </w:p>
    <w:p>
      <w:pPr>
        <w:pStyle w:val="BodyText"/>
        <w:spacing w:line="480" w:lineRule="auto"/>
      </w:pPr>
      <w:r>
        <w:rPr>
          <w:rFonts w:ascii="Times New Roman" w:hAnsi="Times New Roman" w:cs="Times New Roman"/>
          <w:b/>
          <w:bCs/>
          <w:color w:val="000000"/>
          <w:sz w:val="24"/>
        </w:rPr>
        <w:t xml:space="preserve">Keywords:</w:t>
      </w:r>
      <w:r>
        <w:rPr>
          <w:rFonts w:ascii="Times New Roman" w:hAnsi="Times New Roman" w:cs="Times New Roman"/>
          <w:color w:val="000000"/>
          <w:sz w:val="24"/>
        </w:rPr>
        <w:t xml:space="preserve"> </w:t>
      </w:r>
      <w:r>
        <w:rPr>
          <w:rFonts w:ascii="Times New Roman" w:hAnsi="Times New Roman" w:cs="Times New Roman"/>
          <w:color w:val="000000"/>
          <w:sz w:val="24"/>
        </w:rPr>
        <w:t xml:space="preserve">wind-fatigue, eccentric decay, Monte Carlo simulation, urban street trees, probabilistic risk assessment, sonic tomography, Mattheck threshold</w:t>
      </w:r>
    </w:p>
    <w:p>
      <w:pPr>
        <w:spacing w:line="480" w:lineRule="auto"/>
      </w:pPr>
      <w:r>
        <w:rPr>
          <w:rFonts w:ascii="Times New Roman" w:hAnsi="Times New Roman" w:cs="Times New Roman"/>
          <w:color w:val="000000"/>
          <w:sz w:val="24"/>
        </w:rPr>
        <w:pict>
          <v:rect style="width:0;height:1.5pt" o:hralign="center" o:hrstd="t" o:hr="t"/>
        </w:pict>
      </w:r>
    </w:p>
    <w:bookmarkEnd w:id="9"/>
    <w:bookmarkStart w:id="14" w:name="introduction"/>
    <w:p>
      <w:pPr>
        <w:pStyle w:val="Heading2"/>
        <w:spacing w:line="480" w:lineRule="auto"/>
      </w:pPr>
      <w:r>
        <w:rPr>
          <w:rFonts w:ascii="Times New Roman" w:hAnsi="Times New Roman" w:cs="Times New Roman"/>
          <w:b/>
          <w:color w:val="000000"/>
          <w:sz w:val="24"/>
        </w:rPr>
        <w:t xml:space="preserve">1. Introduction</w:t>
      </w:r>
    </w:p>
    <w:bookmarkStart w:id="10" w:name="background-and-motivation"/>
    <w:p>
      <w:pPr>
        <w:pStyle w:val="Heading3"/>
        <w:spacing w:line="480" w:lineRule="auto"/>
      </w:pPr>
      <w:r>
        <w:rPr>
          <w:rFonts w:ascii="Times New Roman" w:hAnsi="Times New Roman" w:cs="Times New Roman"/>
          <w:b/>
          <w:color w:val="000000"/>
          <w:sz w:val="24"/>
        </w:rPr>
        <w:t xml:space="preserve">1.1 Background and motivation</w:t>
      </w:r>
    </w:p>
    <w:p>
      <w:pPr>
        <w:pStyle w:val="FirstParagraph"/>
        <w:spacing w:line="480" w:lineRule="auto"/>
      </w:pPr>
      <w:r>
        <w:rPr>
          <w:rFonts w:ascii="Times New Roman" w:hAnsi="Times New Roman" w:cs="Times New Roman"/>
          <w:color w:val="000000"/>
          <w:sz w:val="24"/>
        </w:rPr>
        <w:t xml:space="preserve">Urban street trees provide essential ecosystem services — microclimate regulation, stormwater interception, air-quality improvement, and aesthetic value (Nowak and Greenfield 2018) — but during typhoons and severe windstorms they pose significant hazards to pedestrians, vehicles, and infrastructure. In the Republic of Korea, several thousand street-tree failures are reported annually during typhoon events, with damage concentrated in coastal regions and on Jeju Island (Korea Forest Service 2021). Existing tree-risk-assessment practice relies primarily on field-inspection methods such as resistograph drilling, sonic tomography, and visual tree assessment to characterise decay extent (Wang et al. 2007; Brazee et al. 2011), and informs static stability evaluations against critical wind-speed thresholds (James et al. 2006). Until recently, however, the cumulative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fatigue</w:t>
      </w:r>
      <w:r>
        <w:rPr>
          <w:rFonts w:ascii="Times New Roman" w:hAnsi="Times New Roman" w:cs="Times New Roman"/>
          <w:color w:val="000000"/>
          <w:sz w:val="24"/>
        </w:rPr>
        <w:t xml:space="preserve"> </w:t>
      </w:r>
      <w:r>
        <w:rPr>
          <w:rFonts w:ascii="Times New Roman" w:hAnsi="Times New Roman" w:cs="Times New Roman"/>
          <w:color w:val="000000"/>
          <w:sz w:val="24"/>
        </w:rPr>
        <w:t xml:space="preserve">damage caused by everyday cyclic wind loading was not quantitatively coupled with decay-driven stress amplification.</w:t>
      </w:r>
    </w:p>
    <w:p>
      <w:pPr>
        <w:pStyle w:val="BodyText"/>
        <w:spacing w:line="480" w:lineRule="auto"/>
      </w:pPr>
      <w:r>
        <w:rPr>
          <w:rFonts w:ascii="Times New Roman" w:hAnsi="Times New Roman" w:cs="Times New Roman"/>
          <w:color w:val="000000"/>
          <w:sz w:val="24"/>
        </w:rPr>
        <w:t xml:space="preserve">In our earlier work (Kang 2026,</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Trees</w:t>
      </w:r>
      <w:r>
        <w:rPr>
          <w:rFonts w:ascii="Times New Roman" w:hAnsi="Times New Roman" w:cs="Times New Roman"/>
          <w:color w:val="000000"/>
          <w:sz w:val="24"/>
        </w:rPr>
        <w:t xml:space="preserve"> </w:t>
      </w:r>
      <w:r>
        <w:rPr>
          <w:rFonts w:ascii="Times New Roman" w:hAnsi="Times New Roman" w:cs="Times New Roman"/>
          <w:color w:val="000000"/>
          <w:sz w:val="24"/>
        </w:rPr>
        <w:t xml:space="preserv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International Journal of Fatigue</w:t>
      </w:r>
      <w:r>
        <w:rPr>
          <w:rFonts w:ascii="Times New Roman" w:hAnsi="Times New Roman" w:cs="Times New Roman"/>
          <w:color w:val="000000"/>
          <w:sz w:val="24"/>
        </w:rPr>
        <w:t xml:space="preserve">, hereafter Paper I) we developed an integrated framework combining finite-element dynamic analysis, Kaimal-spectrum-based wind time-series, rainflow cycle counting, Miner’s linear damage rule, a concentric-hollow decay stress-amplification model, and regional Weibull wind speed distributions. Six tree geometries were analysed under biaxial wind loading, and the resulting absolute fatigue lives were anchored to Korean street-tree species, regional wind regimes, and current management standards. Paper I established that</w:t>
      </w:r>
      <w:r>
        <w:rPr>
          <w:rFonts w:ascii="Times New Roman" w:hAnsi="Times New Roman" w:cs="Times New Roman"/>
          <w:color w:val="000000"/>
          <w:sz w:val="24"/>
        </w:rPr>
        <w:t xml:space="preserve"> </w:t>
      </w:r>
      <w:r>
        <w:rPr>
          <w:rFonts w:ascii="Times New Roman" w:hAnsi="Times New Roman" w:cs="Times New Roman"/>
          <w:b/>
          <w:bCs/>
          <w:color w:val="000000"/>
          <w:sz w:val="24"/>
        </w:rPr>
        <w:t xml:space="preserve">decay-accelerated low-cycle fatigue</w:t>
      </w:r>
      <w:r>
        <w:rPr>
          <w:rFonts w:ascii="Times New Roman" w:hAnsi="Times New Roman" w:cs="Times New Roman"/>
          <w:color w:val="000000"/>
          <w:sz w:val="24"/>
        </w:rPr>
        <w:t xml:space="preserve"> </w:t>
      </w:r>
      <w:r>
        <w:rPr>
          <w:rFonts w:ascii="Times New Roman" w:hAnsi="Times New Roman" w:cs="Times New Roman"/>
          <w:color w:val="000000"/>
          <w:sz w:val="24"/>
        </w:rPr>
        <w:t xml:space="preserve">— the combination of decay-induced stress amplification and infrequent high-wind events — is the dominant failure scenario for urban trees, displacing the conventional view that fatigue is irrelevant for sound trees under ordinary winds. Critically, Paper I identified the Mattheck threshold</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as the point at which lower-bound fatigue life drops below 1.7 yr in Seoul, necessitating immediate intervention.</w:t>
      </w:r>
    </w:p>
    <w:bookmarkEnd w:id="10"/>
    <w:bookmarkStart w:id="11" w:name="the-concentric-assumption-and-its-limits"/>
    <w:p>
      <w:pPr>
        <w:pStyle w:val="Heading3"/>
        <w:spacing w:line="480" w:lineRule="auto"/>
      </w:pPr>
      <w:r>
        <w:rPr>
          <w:rFonts w:ascii="Times New Roman" w:hAnsi="Times New Roman" w:cs="Times New Roman"/>
          <w:b/>
          <w:color w:val="000000"/>
          <w:sz w:val="24"/>
        </w:rPr>
        <w:t xml:space="preserve">1.2 The concentric assumption and its limits</w:t>
      </w:r>
    </w:p>
    <w:p>
      <w:pPr>
        <w:pStyle w:val="FirstParagraph"/>
        <w:spacing w:line="480" w:lineRule="auto"/>
      </w:pPr>
      <w:r>
        <w:rPr>
          <w:rFonts w:ascii="Times New Roman" w:hAnsi="Times New Roman" w:cs="Times New Roman"/>
          <w:color w:val="000000"/>
          <w:sz w:val="24"/>
        </w:rPr>
        <w:t xml:space="preserve">The stress-amplification model used throughout Paper I is the classical concentric hollow-cylinder formula (Mattheck and Breloer 1994; Mattheck 2007),</w:t>
      </w:r>
    </w:p>
    <w:p>
      <w:pPr>
        <w:pStyle w:val="BodyText"/>
        <w:spacing w:line="480" w:lineRule="auto"/>
      </w:pPr>
      <m:oMathPara>
        <m:oMathParaPr>
          <m:jc m:val="center"/>
        </m:oMathParaPr>
        <m:oMath>
          <m:f>
            <m:fPr>
              <m:type m:val="bar"/>
            </m:fPr>
            <m:num>
              <m:sSub>
                <m:e>
                  <m:r>
                    <m:t>σ</m:t>
                  </m:r>
                </m:e>
                <m:sub>
                  <m:r>
                    <m:rPr>
                      <m:nor/>
                      <m:sty m:val="p"/>
                    </m:rPr>
                    <m:t>decayed</m:t>
                  </m:r>
                </m:sub>
              </m:sSub>
            </m:num>
            <m:den>
              <m:sSub>
                <m:e>
                  <m:r>
                    <m:t>σ</m:t>
                  </m:r>
                </m:e>
                <m:sub>
                  <m:r>
                    <m:rPr>
                      <m:nor/>
                      <m:sty m:val="p"/>
                    </m:rPr>
                    <m:t>sound</m:t>
                  </m:r>
                </m:sub>
              </m:sSub>
            </m:den>
          </m:f>
          <m:r>
            <m:t> </m:t>
          </m:r>
          <m:r>
            <m:rPr>
              <m:sty m:val="p"/>
            </m:rPr>
            <m:t>=</m:t>
          </m:r>
          <m:r>
            <m:t> </m:t>
          </m:r>
          <m:f>
            <m:fPr>
              <m:type m:val="bar"/>
            </m:fPr>
            <m:num>
              <m:r>
                <m:t>1</m:t>
              </m:r>
            </m:num>
            <m:den>
              <m:r>
                <m:t>1</m:t>
              </m:r>
              <m:r>
                <m:rPr>
                  <m:sty m:val="p"/>
                </m:rPr>
                <m:t>−</m:t>
              </m:r>
              <m:r>
                <m:rPr>
                  <m:sty m:val="p"/>
                </m:rPr>
                <m:t>(</m:t>
              </m:r>
              <m:sSub>
                <m:e>
                  <m:r>
                    <m:t>r</m:t>
                  </m:r>
                </m:e>
                <m:sub>
                  <m:r>
                    <m:t>d</m:t>
                  </m:r>
                </m:sub>
              </m:sSub>
              <m:r>
                <m:rPr>
                  <m:sty m:val="p"/>
                </m:rPr>
                <m:t>/</m:t>
              </m:r>
              <m:r>
                <m:t>R</m:t>
              </m:r>
              <m:sSup>
                <m:e>
                  <m:r>
                    <m:rPr>
                      <m:sty m:val="p"/>
                    </m:rPr>
                    <m:t>)</m:t>
                  </m:r>
                </m:e>
                <m:sup>
                  <m:r>
                    <m:t>4</m:t>
                  </m:r>
                </m:sup>
              </m:sSup>
            </m:den>
          </m:f>
          <m:r>
            <m:rPr>
              <m:sty m:val="p"/>
            </m:rPr>
            <m:t>,</m:t>
          </m:r>
        </m:oMath>
      </m:oMathPara>
    </w:p>
    <w:p>
      <w:pPr>
        <w:pStyle w:val="FirstParagraph"/>
        <w:spacing w:line="480" w:lineRule="auto"/>
      </w:pPr>
      <w:r>
        <w:rPr>
          <w:rFonts w:ascii="Times New Roman" w:hAnsi="Times New Roman" w:cs="Times New Roman"/>
          <w:color w:val="000000"/>
          <w:sz w:val="24"/>
        </w:rPr>
        <w:t xml:space="preserve">which assumes that the decay cavity is circular and centred on the stem axis. The Mattheck</w:t>
      </w:r>
      <w:r>
        <w:rPr>
          <w:rFonts w:ascii="Times New Roman" w:hAnsi="Times New Roman" w:cs="Times New Roman"/>
          <w:color w:val="000000"/>
          <w:sz w:val="24"/>
        </w:rPr>
        <w:t xml:space="preserve"> </w:t>
      </w:r>
      <m:oMath>
        <m:r>
          <m:t>t</m:t>
        </m:r>
        <m:r>
          <m:rPr>
            <m:sty m:val="p"/>
          </m:rPr>
          <m:t>/</m:t>
        </m:r>
        <m:r>
          <m:t>R</m:t>
        </m:r>
        <m:r>
          <m:rPr>
            <m:sty m:val="p"/>
          </m:rPr>
          <m:t>=</m:t>
        </m:r>
        <m:r>
          <m:t>0.3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static-failure criterion derived from this formula is the de-facto standard for arboricultural risk assessment and is incorporated into national tree-management guidelines worldwide (Lonsdale 1999; Smiley et al. 2017).</w:t>
      </w:r>
    </w:p>
    <w:p>
      <w:pPr>
        <w:pStyle w:val="BodyText"/>
        <w:spacing w:line="480" w:lineRule="auto"/>
      </w:pPr>
      <w:r>
        <w:rPr>
          <w:rFonts w:ascii="Times New Roman" w:hAnsi="Times New Roman" w:cs="Times New Roman"/>
          <w:color w:val="000000"/>
          <w:sz w:val="24"/>
        </w:rPr>
        <w:t xml:space="preserve">Field evidence increasingly contradicts the concentric assumption. Sonic tomography surveys consistently reveal cavities that are eccentric, irregular in cross-section, and often elongated in the radial direction following the path of fungal hyphae through annual growth rings (Brazee et al. 2011; Goh et al. 2018; Allison et al. 2020). Mattheck and Breloer (1994) themselves note in passing that asymmetric defects can amplify peak bending stress by 20-40 % at the same nominal</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 but their treatment is illustrative rather than probabilistic, and neither they nor subsequent authors have quantified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distribution</w:t>
      </w:r>
      <w:r>
        <w:rPr>
          <w:rFonts w:ascii="Times New Roman" w:hAnsi="Times New Roman" w:cs="Times New Roman"/>
          <w:color w:val="000000"/>
          <w:sz w:val="24"/>
        </w:rPr>
        <w:t xml:space="preserve"> </w:t>
      </w:r>
      <w:r>
        <w:rPr>
          <w:rFonts w:ascii="Times New Roman" w:hAnsi="Times New Roman" w:cs="Times New Roman"/>
          <w:color w:val="000000"/>
          <w:sz w:val="24"/>
        </w:rPr>
        <w:t xml:space="preserve">over plausible eccentric geometries. Paper I (Section 4.5, fifth limitation) explicitly identified this as a non-conservatism that warrants probabilistic treatment and recommended the present study as the natural follow-on.</w:t>
      </w:r>
    </w:p>
    <w:p>
      <w:pPr>
        <w:pStyle w:val="BodyText"/>
        <w:spacing w:line="480" w:lineRule="auto"/>
      </w:pPr>
      <w:r>
        <w:rPr>
          <w:rFonts w:ascii="Times New Roman" w:hAnsi="Times New Roman" w:cs="Times New Roman"/>
          <w:color w:val="000000"/>
          <w:sz w:val="24"/>
        </w:rPr>
        <w:t xml:space="preserve">A second, structural difficulty with the concentric assumption is that it produces a single deterministic point estimate of fatigue life for a given</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 From the perspective of municipal arboriculture this is a fragile basis for management decisions: the population of street trees with nominal decay ratio 0.7 in fact contains an</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ensemble</w:t>
      </w:r>
      <w:r>
        <w:rPr>
          <w:rFonts w:ascii="Times New Roman" w:hAnsi="Times New Roman" w:cs="Times New Roman"/>
          <w:color w:val="000000"/>
          <w:sz w:val="24"/>
        </w:rPr>
        <w:t xml:space="preserve"> </w:t>
      </w:r>
      <w:r>
        <w:rPr>
          <w:rFonts w:ascii="Times New Roman" w:hAnsi="Times New Roman" w:cs="Times New Roman"/>
          <w:color w:val="000000"/>
          <w:sz w:val="24"/>
        </w:rPr>
        <w:t xml:space="preserve">of geometric realisations, and the variance of this ensemble — including its lower tail — is what determines whether a risk-management threshold is conservative.</w:t>
      </w:r>
    </w:p>
    <w:bookmarkEnd w:id="11"/>
    <w:bookmarkStart w:id="12" w:name="research-questions"/>
    <w:p>
      <w:pPr>
        <w:pStyle w:val="Heading3"/>
        <w:spacing w:line="480" w:lineRule="auto"/>
      </w:pPr>
      <w:r>
        <w:rPr>
          <w:rFonts w:ascii="Times New Roman" w:hAnsi="Times New Roman" w:cs="Times New Roman"/>
          <w:b/>
          <w:color w:val="000000"/>
          <w:sz w:val="24"/>
        </w:rPr>
        <w:t xml:space="preserve">1.3 Research questions</w:t>
      </w:r>
    </w:p>
    <w:p>
      <w:pPr>
        <w:pStyle w:val="FirstParagraph"/>
        <w:spacing w:line="480" w:lineRule="auto"/>
      </w:pPr>
      <w:r>
        <w:rPr>
          <w:rFonts w:ascii="Times New Roman" w:hAnsi="Times New Roman" w:cs="Times New Roman"/>
          <w:color w:val="000000"/>
          <w:sz w:val="24"/>
        </w:rPr>
        <w:t xml:space="preserve">The present study addresses three questions:</w:t>
      </w:r>
    </w:p>
    <w:p>
      <w:pPr>
        <w:numPr>
          <w:ilvl w:val="0"/>
          <w:numId w:val="1001"/>
        </w:numPr>
        <w:spacing w:line="480" w:lineRule="auto"/>
      </w:pPr>
      <w:r>
        <w:rPr>
          <w:rFonts w:ascii="Times New Roman" w:hAnsi="Times New Roman" w:cs="Times New Roman"/>
          <w:b/>
          <w:bCs/>
          <w:color w:val="000000"/>
          <w:sz w:val="24"/>
        </w:rPr>
        <w:t xml:space="preserve">How does cavity eccentricity change the predicted fatigue life relative to the concentric assumption?</w:t>
      </w:r>
      <w:r>
        <w:rPr>
          <w:rFonts w:ascii="Times New Roman" w:hAnsi="Times New Roman" w:cs="Times New Roman"/>
          <w:color w:val="000000"/>
          <w:sz w:val="24"/>
        </w:rPr>
        <w:t xml:space="preserve"> </w:t>
      </w:r>
      <w:r>
        <w:rPr>
          <w:rFonts w:ascii="Times New Roman" w:hAnsi="Times New Roman" w:cs="Times New Roman"/>
          <w:color w:val="000000"/>
          <w:sz w:val="24"/>
        </w:rPr>
        <w:t xml:space="preserve">We seek a probabilistic answer in the form of a life-ratio distribution</w:t>
      </w:r>
      <w:r>
        <w:rPr>
          <w:rFonts w:ascii="Times New Roman" w:hAnsi="Times New Roman" w:cs="Times New Roman"/>
          <w:color w:val="000000"/>
          <w:sz w:val="24"/>
        </w:rPr>
        <w:t xml:space="preserve"> </w:t>
      </w:r>
      <m:oMath>
        <m:r>
          <m:t>ρ</m:t>
        </m:r>
        <m:r>
          <m:rPr>
            <m:sty m:val="p"/>
          </m:rPr>
          <m:t>=</m:t>
        </m:r>
        <m:sSub>
          <m:e>
            <m:r>
              <m:t>T</m:t>
            </m:r>
          </m:e>
          <m:sub>
            <m:r>
              <m:rPr>
                <m:nor/>
                <m:sty m:val="p"/>
              </m:rPr>
              <m:t>ecc</m:t>
            </m:r>
          </m:sub>
        </m:sSub>
        <m:r>
          <m:rPr>
            <m:sty m:val="p"/>
          </m:rPr>
          <m:t>/</m:t>
        </m:r>
        <m:sSub>
          <m:e>
            <m:r>
              <m:t>T</m:t>
            </m:r>
          </m:e>
          <m:sub>
            <m:r>
              <m:rPr>
                <m:nor/>
                <m:sty m:val="p"/>
              </m:rPr>
              <m:t>conc</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rather than a single corrected scalar.</w:t>
      </w:r>
    </w:p>
    <w:p>
      <w:pPr>
        <w:numPr>
          <w:ilvl w:val="0"/>
          <w:numId w:val="1001"/>
        </w:numPr>
        <w:spacing w:line="480" w:lineRule="auto"/>
      </w:pPr>
      <w:r>
        <w:rPr>
          <w:rFonts w:ascii="Times New Roman" w:hAnsi="Times New Roman" w:cs="Times New Roman"/>
          <w:b/>
          <w:bCs/>
          <w:color w:val="000000"/>
          <w:sz w:val="24"/>
        </w:rPr>
        <w:t xml:space="preserve">Can deterministic point estimates be replaced by 95 % confidence intervals derived from observable cavity-geometry priors?</w:t>
      </w:r>
      <w:r>
        <w:rPr>
          <w:rFonts w:ascii="Times New Roman" w:hAnsi="Times New Roman" w:cs="Times New Roman"/>
          <w:color w:val="000000"/>
          <w:sz w:val="24"/>
        </w:rPr>
        <w:t xml:space="preserve"> </w:t>
      </w:r>
      <w:r>
        <w:rPr>
          <w:rFonts w:ascii="Times New Roman" w:hAnsi="Times New Roman" w:cs="Times New Roman"/>
          <w:color w:val="000000"/>
          <w:sz w:val="24"/>
        </w:rPr>
        <w:t xml:space="preserve">This requires a sampling framework that propagates eccentricity priors through the same calibrated pipeline used in Paper I.</w:t>
      </w:r>
    </w:p>
    <w:p>
      <w:pPr>
        <w:numPr>
          <w:ilvl w:val="0"/>
          <w:numId w:val="1001"/>
        </w:numPr>
        <w:spacing w:line="480" w:lineRule="auto"/>
      </w:pPr>
      <w:r>
        <w:rPr>
          <w:rFonts w:ascii="Times New Roman" w:hAnsi="Times New Roman" w:cs="Times New Roman"/>
          <w:b/>
          <w:bCs/>
          <w:color w:val="000000"/>
          <w:sz w:val="24"/>
        </w:rPr>
        <w:t xml:space="preserve">Does the resulting uncertainty enable a risk-based inspection schedule that is more conservative — and more defensible — than the current Korean standard of fixed-interval visual inspection?</w:t>
      </w:r>
    </w:p>
    <w:bookmarkEnd w:id="12"/>
    <w:bookmarkStart w:id="13" w:name="contributions"/>
    <w:p>
      <w:pPr>
        <w:pStyle w:val="Heading3"/>
        <w:spacing w:line="480" w:lineRule="auto"/>
      </w:pPr>
      <w:r>
        <w:rPr>
          <w:rFonts w:ascii="Times New Roman" w:hAnsi="Times New Roman" w:cs="Times New Roman"/>
          <w:b/>
          <w:color w:val="000000"/>
          <w:sz w:val="24"/>
        </w:rPr>
        <w:t xml:space="preserve">1.4 Contributions</w:t>
      </w:r>
    </w:p>
    <w:p>
      <w:pPr>
        <w:pStyle w:val="FirstParagraph"/>
        <w:spacing w:line="480" w:lineRule="auto"/>
      </w:pPr>
      <w:r>
        <w:rPr>
          <w:rFonts w:ascii="Times New Roman" w:hAnsi="Times New Roman" w:cs="Times New Roman"/>
          <w:color w:val="000000"/>
          <w:sz w:val="24"/>
        </w:rPr>
        <w:t xml:space="preserve">This paper makes four contributions. First, it develops a vectorisable, analytically grounded framework for arbitrary eccentric and elliptical decay cavities, extending the classical Mattheck construction. Second, it presents a 30-scenario Monte Carlo sweep (5 decay levels × 3 wind distributions × 2 S-N curves,</w:t>
      </w:r>
      <w:r>
        <w:rPr>
          <w:rFonts w:ascii="Times New Roman" w:hAnsi="Times New Roman" w:cs="Times New Roman"/>
          <w:color w:val="000000"/>
          <w:sz w:val="24"/>
        </w:rPr>
        <w:t xml:space="preserve"> </w:t>
      </w:r>
      <m:oMath>
        <m:r>
          <m:t>n</m:t>
        </m:r>
        <m:r>
          <m:rPr>
            <m:sty m:val="p"/>
          </m:rPr>
          <m:t>=</m:t>
        </m:r>
        <m:r>
          <m:t>10</m:t>
        </m:r>
        <m:r>
          <m:t> </m:t>
        </m:r>
        <m:r>
          <m:t>000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each) anchored to the calibrated absolute lives of Paper I, producing the first probabilistic confidence intervals on fatigue life for decayed urban street trees. Third, it demonstrates analytically and numerically that wind-direction distributions decouple from the life-ratio correction under independent uniform cavity-orientation priors — a result that simplifies risk assessment and identifies cavity-geometry tomography as the priority empirical input. Fourth, it derives a policy-ready decay-ratio × percentile inspection matrix for three Korean wind regimes that is directly actionable by municipal forestry departments.</w:t>
      </w:r>
    </w:p>
    <w:p>
      <w:pPr>
        <w:spacing w:line="480" w:lineRule="auto"/>
      </w:pPr>
      <w:r>
        <w:rPr>
          <w:rFonts w:ascii="Times New Roman" w:hAnsi="Times New Roman" w:cs="Times New Roman"/>
          <w:color w:val="000000"/>
          <w:sz w:val="24"/>
        </w:rPr>
        <w:pict>
          <v:rect style="width:0;height:1.5pt" o:hralign="center" o:hrstd="t" o:hr="t"/>
        </w:pict>
      </w:r>
    </w:p>
    <w:bookmarkEnd w:id="13"/>
    <w:bookmarkEnd w:id="14"/>
    <w:bookmarkStart w:id="21" w:name="methods"/>
    <w:p>
      <w:pPr>
        <w:pStyle w:val="Heading2"/>
        <w:spacing w:line="480" w:lineRule="auto"/>
      </w:pPr>
      <w:r>
        <w:rPr>
          <w:rFonts w:ascii="Times New Roman" w:hAnsi="Times New Roman" w:cs="Times New Roman"/>
          <w:b/>
          <w:color w:val="000000"/>
          <w:sz w:val="24"/>
        </w:rPr>
        <w:t xml:space="preserve">2. Methods</w:t>
      </w:r>
    </w:p>
    <w:bookmarkStart w:id="15" w:name="eccentric-cross-section-model"/>
    <w:p>
      <w:pPr>
        <w:pStyle w:val="Heading3"/>
        <w:spacing w:line="480" w:lineRule="auto"/>
      </w:pPr>
      <w:r>
        <w:rPr>
          <w:rFonts w:ascii="Times New Roman" w:hAnsi="Times New Roman" w:cs="Times New Roman"/>
          <w:b/>
          <w:color w:val="000000"/>
          <w:sz w:val="24"/>
        </w:rPr>
        <w:t xml:space="preserve">2.1 Eccentric cross-section model</w:t>
      </w:r>
    </w:p>
    <w:p>
      <w:pPr>
        <w:pStyle w:val="FirstParagraph"/>
        <w:spacing w:line="480" w:lineRule="auto"/>
      </w:pPr>
      <w:r>
        <w:rPr>
          <w:rFonts w:ascii="Times New Roman" w:hAnsi="Times New Roman" w:cs="Times New Roman"/>
          <w:color w:val="000000"/>
          <w:sz w:val="24"/>
        </w:rPr>
        <w:t xml:space="preserve">The cross-section perpendicular to the stem axis is modelled as a circular outer disk of radius</w:t>
      </w:r>
      <w:r>
        <w:rPr>
          <w:rFonts w:ascii="Times New Roman" w:hAnsi="Times New Roman" w:cs="Times New Roman"/>
          <w:color w:val="000000"/>
          <w:sz w:val="24"/>
        </w:rPr>
        <w:t xml:space="preserve"> </w:t>
      </w:r>
      <m:oMath>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representing intact bark and wood, minus a single decay cavity. Two cavity geometries are considered:</w:t>
      </w:r>
    </w:p>
    <w:p>
      <w:pPr>
        <w:numPr>
          <w:ilvl w:val="0"/>
          <w:numId w:val="1002"/>
        </w:numPr>
        <w:spacing w:line="480" w:lineRule="auto"/>
      </w:pPr>
      <w:r>
        <w:rPr>
          <w:rFonts w:ascii="Times New Roman" w:hAnsi="Times New Roman" w:cs="Times New Roman"/>
          <w:b/>
          <w:bCs/>
          <w:color w:val="000000"/>
          <w:sz w:val="24"/>
        </w:rPr>
        <w:t xml:space="preserve">Eccentric circular cavity.</w:t>
      </w:r>
      <w:r>
        <w:rPr>
          <w:rFonts w:ascii="Times New Roman" w:hAnsi="Times New Roman" w:cs="Times New Roman"/>
          <w:color w:val="000000"/>
          <w:sz w:val="24"/>
        </w:rPr>
        <w:t xml:space="preserve"> </w:t>
      </w:r>
      <w:r>
        <w:rPr>
          <w:rFonts w:ascii="Times New Roman" w:hAnsi="Times New Roman" w:cs="Times New Roman"/>
          <w:color w:val="000000"/>
          <w:sz w:val="24"/>
        </w:rPr>
        <w:t xml:space="preserve">A circle of radius</w:t>
      </w:r>
      <w:r>
        <w:rPr>
          <w:rFonts w:ascii="Times New Roman" w:hAnsi="Times New Roman" w:cs="Times New Roman"/>
          <w:color w:val="000000"/>
          <w:sz w:val="24"/>
        </w:rPr>
        <w:t xml:space="preserve"> </w:t>
      </w:r>
      <m:oMath>
        <m:sSub>
          <m:e>
            <m:r>
              <m:t>r</m:t>
            </m:r>
          </m:e>
          <m:sub>
            <m:r>
              <m:t>d</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centred at</w:t>
      </w:r>
      <w:r>
        <w:rPr>
          <w:rFonts w:ascii="Times New Roman" w:hAnsi="Times New Roman" w:cs="Times New Roman"/>
          <w:color w:val="000000"/>
          <w:sz w:val="24"/>
        </w:rPr>
        <w:t xml:space="preserve"> </w:t>
      </w:r>
      <m:oMath>
        <m:r>
          <m:rPr>
            <m:sty m:val="p"/>
          </m:rPr>
          <m:t>(</m:t>
        </m:r>
        <m:sSub>
          <m:e>
            <m:r>
              <m:t>e</m:t>
            </m:r>
          </m:e>
          <m:sub>
            <m:r>
              <m:t>x</m:t>
            </m:r>
          </m:sub>
        </m:sSub>
        <m:r>
          <m:rPr>
            <m:sty m:val="p"/>
          </m:rPr>
          <m:t>,</m:t>
        </m:r>
        <m:sSub>
          <m:e>
            <m:r>
              <m:t>e</m:t>
            </m:r>
          </m:e>
          <m:sub>
            <m:r>
              <m:t>y</m:t>
            </m:r>
          </m:sub>
        </m:sSub>
        <m:r>
          <m:rPr>
            <m:sty m:val="p"/>
          </m:rPr>
          <m:t>)</m:t>
        </m:r>
      </m:oMath>
      <w:r>
        <w:rPr>
          <w:rFonts w:ascii="Times New Roman" w:hAnsi="Times New Roman" w:cs="Times New Roman"/>
          <w:color w:val="000000"/>
          <w:sz w:val="24"/>
        </w:rPr>
        <w:t xml:space="preserve">, with normalised eccentricity defined as</w:t>
      </w:r>
      <w:r>
        <w:rPr>
          <w:rFonts w:ascii="Times New Roman" w:hAnsi="Times New Roman" w:cs="Times New Roman"/>
          <w:color w:val="000000"/>
          <w:sz w:val="24"/>
        </w:rPr>
        <w:t xml:space="preserve"> </w:t>
      </w:r>
      <m:oMath>
        <m:sSub>
          <m:e>
            <m:r>
              <m:t>e</m:t>
            </m:r>
          </m:e>
          <m:sub>
            <m:r>
              <m:rPr>
                <m:nor/>
                <m:sty m:val="p"/>
              </m:rPr>
              <m:t>norm</m:t>
            </m:r>
          </m:sub>
        </m:sSub>
        <m:r>
          <m:rPr>
            <m:sty m:val="p"/>
          </m:rPr>
          <m:t>=</m:t>
        </m:r>
        <m:r>
          <m:t>e</m:t>
        </m:r>
        <m:r>
          <m:rPr>
            <m:sty m:val="p"/>
          </m:rPr>
          <m:t>/</m:t>
        </m:r>
        <m:r>
          <m:rPr>
            <m:sty m:val="p"/>
          </m:rPr>
          <m:t>(</m:t>
        </m:r>
        <m:r>
          <m:t>R</m:t>
        </m:r>
        <m:r>
          <m:rPr>
            <m:sty m:val="p"/>
          </m:rPr>
          <m:t>−</m:t>
        </m:r>
        <m:sSub>
          <m:e>
            <m:r>
              <m:t>r</m:t>
            </m:r>
          </m:e>
          <m:sub>
            <m:r>
              <m:t>d</m:t>
            </m:r>
          </m:sub>
        </m:sSub>
        <m:r>
          <m:rPr>
            <m:sty m:val="p"/>
          </m:rPr>
          <m:t>)</m:t>
        </m:r>
      </m:oMath>
      <w:r>
        <w:rPr>
          <w:rFonts w:ascii="Times New Roman" w:hAnsi="Times New Roman" w:cs="Times New Roman"/>
          <w:color w:val="000000"/>
          <w:sz w:val="24"/>
        </w:rPr>
        <w:t xml:space="preserve">, where</w:t>
      </w:r>
      <w:r>
        <w:rPr>
          <w:rFonts w:ascii="Times New Roman" w:hAnsi="Times New Roman" w:cs="Times New Roman"/>
          <w:color w:val="000000"/>
          <w:sz w:val="24"/>
        </w:rPr>
        <w:t xml:space="preserve"> </w:t>
      </w:r>
      <m:oMath>
        <m:r>
          <m:t>e</m:t>
        </m:r>
        <m:r>
          <m:rPr>
            <m:sty m:val="p"/>
          </m:rPr>
          <m:t>=</m:t>
        </m:r>
        <m:rad>
          <m:radPr>
            <m:degHide m:val="on"/>
          </m:radPr>
          <m:deg/>
          <m:e>
            <m:sSubSup>
              <m:e>
                <m:r>
                  <m:t>e</m:t>
                </m:r>
              </m:e>
              <m:sub>
                <m:r>
                  <m:t>x</m:t>
                </m:r>
              </m:sub>
              <m:sup>
                <m:r>
                  <m:t>2</m:t>
                </m:r>
              </m:sup>
            </m:sSubSup>
            <m:r>
              <m:rPr>
                <m:sty m:val="p"/>
              </m:rPr>
              <m:t>+</m:t>
            </m:r>
            <m:sSubSup>
              <m:e>
                <m:r>
                  <m:t>e</m:t>
                </m:r>
              </m:e>
              <m:sub>
                <m:r>
                  <m:t>y</m:t>
                </m:r>
              </m:sub>
              <m:sup>
                <m:r>
                  <m:t>2</m:t>
                </m:r>
              </m:sup>
            </m:sSubSup>
          </m:e>
        </m:rad>
      </m:oMath>
      <w:r>
        <w:rPr>
          <w:rFonts w:ascii="Times New Roman" w:hAnsi="Times New Roman" w:cs="Times New Roman"/>
          <w:color w:val="000000"/>
          <w:sz w:val="24"/>
        </w:rPr>
        <w:t xml:space="preserve">. The case</w:t>
      </w:r>
      <w:r>
        <w:rPr>
          <w:rFonts w:ascii="Times New Roman" w:hAnsi="Times New Roman" w:cs="Times New Roman"/>
          <w:color w:val="000000"/>
          <w:sz w:val="24"/>
        </w:rPr>
        <w:t xml:space="preserve"> </w:t>
      </w:r>
      <m:oMath>
        <m:sSub>
          <m:e>
            <m:r>
              <m:t>e</m:t>
            </m:r>
          </m:e>
          <m:sub>
            <m:r>
              <m:rPr>
                <m:nor/>
                <m:sty m:val="p"/>
              </m:rPr>
              <m:t>norm</m:t>
            </m:r>
          </m:sub>
        </m:sSub>
        <m:r>
          <m:rPr>
            <m:sty m:val="p"/>
          </m:rPr>
          <m:t>=</m:t>
        </m:r>
        <m:r>
          <m:t>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recovers the concentric Mattheck (1994) model;</w:t>
      </w:r>
      <w:r>
        <w:rPr>
          <w:rFonts w:ascii="Times New Roman" w:hAnsi="Times New Roman" w:cs="Times New Roman"/>
          <w:color w:val="000000"/>
          <w:sz w:val="24"/>
        </w:rPr>
        <w:t xml:space="preserve"> </w:t>
      </w:r>
      <m:oMath>
        <m:sSub>
          <m:e>
            <m:r>
              <m:t>e</m:t>
            </m:r>
          </m:e>
          <m:sub>
            <m:r>
              <m:rPr>
                <m:nor/>
                <m:sty m:val="p"/>
              </m:rPr>
              <m:t>norm</m:t>
            </m:r>
          </m:sub>
        </m:sSub>
        <m:r>
          <m:rPr>
            <m:sty m:val="p"/>
          </m:rPr>
          <m:t>=</m:t>
        </m:r>
        <m:r>
          <m:t>1</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corresponds to the cavity being internally tangent to the outer wall. Although the wood-decay process is unlikely to perforate the bark, the upper limit</w:t>
      </w:r>
      <w:r>
        <w:rPr>
          <w:rFonts w:ascii="Times New Roman" w:hAnsi="Times New Roman" w:cs="Times New Roman"/>
          <w:color w:val="000000"/>
          <w:sz w:val="24"/>
        </w:rPr>
        <w:t xml:space="preserve"> </w:t>
      </w:r>
      <m:oMath>
        <m:sSub>
          <m:e>
            <m:r>
              <m:t>e</m:t>
            </m:r>
          </m:e>
          <m:sub>
            <m:r>
              <m:rPr>
                <m:nor/>
                <m:sty m:val="p"/>
              </m:rPr>
              <m:t>norm</m:t>
            </m:r>
          </m:sub>
        </m:sSub>
        <m:r>
          <m:rPr>
            <m:sty m:val="p"/>
          </m:rPr>
          <m:t>→</m:t>
        </m:r>
        <m:r>
          <m:t>1</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retained as a worst-case envelope.</w:t>
      </w:r>
    </w:p>
    <w:p>
      <w:pPr>
        <w:numPr>
          <w:ilvl w:val="0"/>
          <w:numId w:val="1002"/>
        </w:numPr>
        <w:spacing w:line="480" w:lineRule="auto"/>
      </w:pPr>
      <w:r>
        <w:rPr>
          <w:rFonts w:ascii="Times New Roman" w:hAnsi="Times New Roman" w:cs="Times New Roman"/>
          <w:b/>
          <w:bCs/>
          <w:color w:val="000000"/>
          <w:sz w:val="24"/>
        </w:rPr>
        <w:t xml:space="preserve">Elliptical cavity.</w:t>
      </w:r>
      <w:r>
        <w:rPr>
          <w:rFonts w:ascii="Times New Roman" w:hAnsi="Times New Roman" w:cs="Times New Roman"/>
          <w:color w:val="000000"/>
          <w:sz w:val="24"/>
        </w:rPr>
        <w:t xml:space="preserve"> </w:t>
      </w:r>
      <w:r>
        <w:rPr>
          <w:rFonts w:ascii="Times New Roman" w:hAnsi="Times New Roman" w:cs="Times New Roman"/>
          <w:color w:val="000000"/>
          <w:sz w:val="24"/>
        </w:rPr>
        <w:t xml:space="preserve">Semi-axes</w:t>
      </w:r>
      <w:r>
        <w:rPr>
          <w:rFonts w:ascii="Times New Roman" w:hAnsi="Times New Roman" w:cs="Times New Roman"/>
          <w:color w:val="000000"/>
          <w:sz w:val="24"/>
        </w:rPr>
        <w:t xml:space="preserve"> </w:t>
      </w:r>
      <m:oMath>
        <m:r>
          <m:rPr>
            <m:sty m:val="p"/>
          </m:rPr>
          <m:t>(</m:t>
        </m:r>
        <m:r>
          <m:t>a</m:t>
        </m:r>
        <m:r>
          <m:rPr>
            <m:sty m:val="p"/>
          </m:rPr>
          <m:t>,</m:t>
        </m:r>
        <m:r>
          <m:t>b</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with arbitrary orientation</w:t>
      </w:r>
      <w:r>
        <w:rPr>
          <w:rFonts w:ascii="Times New Roman" w:hAnsi="Times New Roman" w:cs="Times New Roman"/>
          <w:color w:val="000000"/>
          <w:sz w:val="24"/>
        </w:rPr>
        <w:t xml:space="preserve"> </w:t>
      </w:r>
      <m:oMath>
        <m:r>
          <m:t>ϕ</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eccentric centre</w:t>
      </w:r>
      <w:r>
        <w:rPr>
          <w:rFonts w:ascii="Times New Roman" w:hAnsi="Times New Roman" w:cs="Times New Roman"/>
          <w:color w:val="000000"/>
          <w:sz w:val="24"/>
        </w:rPr>
        <w:t xml:space="preserve"> </w:t>
      </w:r>
      <m:oMath>
        <m:r>
          <m:rPr>
            <m:sty m:val="p"/>
          </m:rPr>
          <m:t>(</m:t>
        </m:r>
        <m:sSub>
          <m:e>
            <m:r>
              <m:t>e</m:t>
            </m:r>
          </m:e>
          <m:sub>
            <m:r>
              <m:t>x</m:t>
            </m:r>
          </m:sub>
        </m:sSub>
        <m:r>
          <m:rPr>
            <m:sty m:val="p"/>
          </m:rPr>
          <m:t>,</m:t>
        </m:r>
        <m:sSub>
          <m:e>
            <m:r>
              <m:t>e</m:t>
            </m:r>
          </m:e>
          <m:sub>
            <m:r>
              <m:t>y</m:t>
            </m:r>
          </m:sub>
        </m:sSub>
        <m:r>
          <m:rPr>
            <m:sty m:val="p"/>
          </m:rPr>
          <m:t>)</m:t>
        </m:r>
      </m:oMath>
      <w:r>
        <w:rPr>
          <w:rFonts w:ascii="Times New Roman" w:hAnsi="Times New Roman" w:cs="Times New Roman"/>
          <w:color w:val="000000"/>
          <w:sz w:val="24"/>
        </w:rPr>
        <w:t xml:space="preserve">. To allow direct comparison with circular cavities, all elliptical samples are constrained to be</w:t>
      </w:r>
      <w:r>
        <w:rPr>
          <w:rFonts w:ascii="Times New Roman" w:hAnsi="Times New Roman" w:cs="Times New Roman"/>
          <w:color w:val="000000"/>
          <w:sz w:val="24"/>
        </w:rPr>
        <w:t xml:space="preserve"> </w:t>
      </w:r>
      <w:r>
        <w:rPr>
          <w:rFonts w:ascii="Times New Roman" w:hAnsi="Times New Roman" w:cs="Times New Roman"/>
          <w:b/>
          <w:bCs/>
          <w:color w:val="000000"/>
          <w:sz w:val="24"/>
        </w:rPr>
        <w:t xml:space="preserve">area-equivalent</w:t>
      </w:r>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r>
          <m:t>π</m:t>
        </m:r>
        <m:r>
          <m:t>a</m:t>
        </m:r>
        <m:r>
          <m:t>b</m:t>
        </m:r>
        <m:r>
          <m:rPr>
            <m:sty m:val="p"/>
          </m:rPr>
          <m:t>=</m:t>
        </m:r>
        <m:r>
          <m:t>π</m:t>
        </m:r>
        <m:sSubSup>
          <m:e>
            <m:r>
              <m:t>r</m:t>
            </m:r>
          </m:e>
          <m:sub>
            <m:r>
              <m:t>d</m:t>
            </m:r>
            <m:r>
              <m:rPr>
                <m:sty m:val="p"/>
              </m:rPr>
              <m:t>,</m:t>
            </m:r>
            <m:r>
              <m:rPr>
                <m:nor/>
                <m:sty m:val="p"/>
              </m:rPr>
              <m:t>eq</m:t>
            </m:r>
          </m:sub>
          <m:sup>
            <m:r>
              <m:t>2</m:t>
            </m:r>
          </m:sup>
        </m:sSubSup>
      </m:oMath>
      <w:r>
        <w:rPr>
          <w:rFonts w:ascii="Times New Roman" w:hAnsi="Times New Roman" w:cs="Times New Roman"/>
          <w:color w:val="000000"/>
          <w:sz w:val="24"/>
        </w:rPr>
        <w:t xml:space="preserve">, where</w:t>
      </w:r>
      <w:r>
        <w:rPr>
          <w:rFonts w:ascii="Times New Roman" w:hAnsi="Times New Roman" w:cs="Times New Roman"/>
          <w:color w:val="000000"/>
          <w:sz w:val="24"/>
        </w:rPr>
        <w:t xml:space="preserve"> </w:t>
      </w:r>
      <m:oMath>
        <m:sSub>
          <m:e>
            <m:r>
              <m:t>r</m:t>
            </m:r>
          </m:e>
          <m:sub>
            <m:r>
              <m:t>d</m:t>
            </m:r>
            <m:r>
              <m:rPr>
                <m:sty m:val="p"/>
              </m:rPr>
              <m:t>,</m:t>
            </m:r>
            <m:r>
              <m:rPr>
                <m:nor/>
                <m:sty m:val="p"/>
              </m:rPr>
              <m:t>eq</m:t>
            </m:r>
          </m:sub>
        </m:sSub>
        <m:r>
          <m:rPr>
            <m:sty m:val="p"/>
          </m:rPr>
          <m:t>=</m:t>
        </m:r>
        <m:r>
          <m:t>α</m:t>
        </m:r>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the equivalent decay-ratio radius and</w:t>
      </w:r>
      <w:r>
        <w:rPr>
          <w:rFonts w:ascii="Times New Roman" w:hAnsi="Times New Roman" w:cs="Times New Roman"/>
          <w:color w:val="000000"/>
          <w:sz w:val="24"/>
        </w:rPr>
        <w:t xml:space="preserve"> </w:t>
      </w:r>
      <m:oMath>
        <m:r>
          <m:t>α</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the prescribed nominal</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w:t>
      </w:r>
    </w:p>
    <w:p>
      <w:pPr>
        <w:pStyle w:val="FirstParagraph"/>
        <w:spacing w:line="480" w:lineRule="auto"/>
      </w:pPr>
      <w:r>
        <w:rPr>
          <w:rFonts w:ascii="Times New Roman" w:hAnsi="Times New Roman" w:cs="Times New Roman"/>
          <w:color w:val="000000"/>
          <w:sz w:val="24"/>
        </w:rPr>
        <w:t xml:space="preserve">The composite-area rule was used to compute net cross-section properties. For an outer disk of radius</w:t>
      </w:r>
      <w:r>
        <w:rPr>
          <w:rFonts w:ascii="Times New Roman" w:hAnsi="Times New Roman" w:cs="Times New Roman"/>
          <w:color w:val="000000"/>
          <w:sz w:val="24"/>
        </w:rPr>
        <w:t xml:space="preserve"> </w:t>
      </w:r>
      <m:oMath>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centred at the origin and a cavity of area</w:t>
      </w:r>
      <w:r>
        <w:rPr>
          <w:rFonts w:ascii="Times New Roman" w:hAnsi="Times New Roman" w:cs="Times New Roman"/>
          <w:color w:val="000000"/>
          <w:sz w:val="24"/>
        </w:rPr>
        <w:t xml:space="preserve"> </w:t>
      </w:r>
      <m:oMath>
        <m:sSub>
          <m:e>
            <m:r>
              <m:t>A</m:t>
            </m:r>
          </m:e>
          <m:sub>
            <m:r>
              <m:t>c</m:t>
            </m:r>
          </m:sub>
        </m:sSub>
      </m:oMath>
      <w:r>
        <w:rPr>
          <w:rFonts w:ascii="Times New Roman" w:hAnsi="Times New Roman" w:cs="Times New Roman"/>
          <w:color w:val="000000"/>
          <w:sz w:val="24"/>
        </w:rPr>
        <w:t xml:space="preserve">, centroid</w:t>
      </w:r>
      <w:r>
        <w:rPr>
          <w:rFonts w:ascii="Times New Roman" w:hAnsi="Times New Roman" w:cs="Times New Roman"/>
          <w:color w:val="000000"/>
          <w:sz w:val="24"/>
        </w:rPr>
        <w:t xml:space="preserve"> </w:t>
      </w:r>
      <m:oMath>
        <m:r>
          <m:rPr>
            <m:sty m:val="p"/>
          </m:rPr>
          <m:t>(</m:t>
        </m:r>
        <m:sSub>
          <m:e>
            <m:r>
              <m:t>e</m:t>
            </m:r>
          </m:e>
          <m:sub>
            <m:r>
              <m:t>x</m:t>
            </m:r>
          </m:sub>
        </m:sSub>
        <m:r>
          <m:rPr>
            <m:sty m:val="p"/>
          </m:rPr>
          <m:t>,</m:t>
        </m:r>
        <m:sSub>
          <m:e>
            <m:r>
              <m:t>e</m:t>
            </m:r>
          </m:e>
          <m:sub>
            <m:r>
              <m:t>y</m:t>
            </m:r>
          </m:sub>
        </m:sSub>
        <m:r>
          <m:rPr>
            <m:sty m:val="p"/>
          </m:rPr>
          <m:t>)</m:t>
        </m:r>
      </m:oMath>
      <w:r>
        <w:rPr>
          <w:rFonts w:ascii="Times New Roman" w:hAnsi="Times New Roman" w:cs="Times New Roman"/>
          <w:color w:val="000000"/>
          <w:sz w:val="24"/>
        </w:rPr>
        <w:t xml:space="preserve">, and origin-frame second moments</w:t>
      </w:r>
      <w:r>
        <w:rPr>
          <w:rFonts w:ascii="Times New Roman" w:hAnsi="Times New Roman" w:cs="Times New Roman"/>
          <w:color w:val="000000"/>
          <w:sz w:val="24"/>
        </w:rPr>
        <w:t xml:space="preserve"> </w:t>
      </w:r>
      <m:oMath>
        <m:r>
          <m:rPr>
            <m:sty m:val="p"/>
          </m:rPr>
          <m:t>(</m:t>
        </m:r>
        <m:sSubSup>
          <m:e>
            <m:r>
              <m:t>I</m:t>
            </m:r>
          </m:e>
          <m:sub>
            <m:r>
              <m:t>x</m:t>
            </m:r>
            <m:r>
              <m:t>x</m:t>
            </m:r>
          </m:sub>
          <m:sup>
            <m:r>
              <m:t>c</m:t>
            </m:r>
          </m:sup>
        </m:sSubSup>
        <m:r>
          <m:rPr>
            <m:sty m:val="p"/>
          </m:rPr>
          <m:t>,</m:t>
        </m:r>
        <m:sSubSup>
          <m:e>
            <m:r>
              <m:t>I</m:t>
            </m:r>
          </m:e>
          <m:sub>
            <m:r>
              <m:t>y</m:t>
            </m:r>
            <m:r>
              <m:t>y</m:t>
            </m:r>
          </m:sub>
          <m:sup>
            <m:r>
              <m:t>c</m:t>
            </m:r>
          </m:sup>
        </m:sSubSup>
        <m:r>
          <m:rPr>
            <m:sty m:val="p"/>
          </m:rPr>
          <m:t>,</m:t>
        </m:r>
        <m:sSubSup>
          <m:e>
            <m:r>
              <m:t>I</m:t>
            </m:r>
          </m:e>
          <m:sub>
            <m:r>
              <m:t>x</m:t>
            </m:r>
            <m:r>
              <m:t>y</m:t>
            </m:r>
          </m:sub>
          <m:sup>
            <m:r>
              <m:t>c</m:t>
            </m:r>
          </m:sup>
        </m:sSubSup>
        <m:r>
          <m:rPr>
            <m:sty m:val="p"/>
          </m:rPr>
          <m:t>)</m:t>
        </m:r>
      </m:oMath>
      <w:r>
        <w:rPr>
          <w:rFonts w:ascii="Times New Roman" w:hAnsi="Times New Roman" w:cs="Times New Roman"/>
          <w:color w:val="000000"/>
          <w:sz w:val="24"/>
        </w:rPr>
        <w:t xml:space="preserve">, the net section has area</w:t>
      </w:r>
      <w:r>
        <w:rPr>
          <w:rFonts w:ascii="Times New Roman" w:hAnsi="Times New Roman" w:cs="Times New Roman"/>
          <w:color w:val="000000"/>
          <w:sz w:val="24"/>
        </w:rPr>
        <w:t xml:space="preserve"> </w:t>
      </w:r>
      <m:oMath>
        <m:sSub>
          <m:e>
            <m:r>
              <m:t>A</m:t>
            </m:r>
          </m:e>
          <m:sub>
            <m:r>
              <m:rPr>
                <m:nor/>
                <m:sty m:val="p"/>
              </m:rPr>
              <m:t>net</m:t>
            </m:r>
          </m:sub>
        </m:sSub>
        <m:r>
          <m:rPr>
            <m:sty m:val="p"/>
          </m:rPr>
          <m:t>=</m:t>
        </m:r>
        <m:r>
          <m:t>π</m:t>
        </m:r>
        <m:sSup>
          <m:e>
            <m:r>
              <m:t>R</m:t>
            </m:r>
          </m:e>
          <m:sup>
            <m:r>
              <m:t>2</m:t>
            </m:r>
          </m:sup>
        </m:sSup>
        <m:r>
          <m:rPr>
            <m:sty m:val="p"/>
          </m:rPr>
          <m:t>−</m:t>
        </m:r>
        <m:sSub>
          <m:e>
            <m:r>
              <m:t>A</m:t>
            </m:r>
          </m:e>
          <m:sub>
            <m:r>
              <m:t>c</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centroid</w:t>
      </w:r>
    </w:p>
    <w:p>
      <w:pPr>
        <w:pStyle w:val="BodyText"/>
        <w:spacing w:line="480" w:lineRule="auto"/>
      </w:pPr>
      <m:oMathPara>
        <m:oMathParaPr>
          <m:jc m:val="center"/>
        </m:oMathParaPr>
        <m:oMath>
          <m:sSub>
            <m:e>
              <m:r>
                <m:t>x</m:t>
              </m:r>
            </m:e>
            <m:sub>
              <m:r>
                <m:t>c</m:t>
              </m:r>
            </m:sub>
          </m:sSub>
          <m:r>
            <m:rPr>
              <m:sty m:val="p"/>
            </m:rPr>
            <m:t>=</m:t>
          </m:r>
          <m:r>
            <m:rPr>
              <m:sty m:val="p"/>
            </m:rPr>
            <m:t>−</m:t>
          </m:r>
          <m:f>
            <m:fPr>
              <m:type m:val="bar"/>
            </m:fPr>
            <m:num>
              <m:sSub>
                <m:e>
                  <m:r>
                    <m:t>A</m:t>
                  </m:r>
                </m:e>
                <m:sub>
                  <m:r>
                    <m:t>c</m:t>
                  </m:r>
                </m:sub>
              </m:sSub>
              <m:r>
                <m:t> </m:t>
              </m:r>
              <m:sSub>
                <m:e>
                  <m:r>
                    <m:t>e</m:t>
                  </m:r>
                </m:e>
                <m:sub>
                  <m:r>
                    <m:t>x</m:t>
                  </m:r>
                </m:sub>
              </m:sSub>
            </m:num>
            <m:den>
              <m:sSub>
                <m:e>
                  <m:r>
                    <m:t>A</m:t>
                  </m:r>
                </m:e>
                <m:sub>
                  <m:r>
                    <m:rPr>
                      <m:nor/>
                      <m:sty m:val="p"/>
                    </m:rPr>
                    <m:t>net</m:t>
                  </m:r>
                </m:sub>
              </m:sSub>
            </m:den>
          </m:f>
          <m:r>
            <m:rPr>
              <m:sty m:val="p"/>
            </m:rPr>
            <m:t>,</m:t>
          </m:r>
          <m:r>
            <m:t>  </m:t>
          </m:r>
          <m:sSub>
            <m:e>
              <m:r>
                <m:t>y</m:t>
              </m:r>
            </m:e>
            <m:sub>
              <m:r>
                <m:t>c</m:t>
              </m:r>
            </m:sub>
          </m:sSub>
          <m:r>
            <m:rPr>
              <m:sty m:val="p"/>
            </m:rPr>
            <m:t>=</m:t>
          </m:r>
          <m:r>
            <m:rPr>
              <m:sty m:val="p"/>
            </m:rPr>
            <m:t>−</m:t>
          </m:r>
          <m:f>
            <m:fPr>
              <m:type m:val="bar"/>
            </m:fPr>
            <m:num>
              <m:sSub>
                <m:e>
                  <m:r>
                    <m:t>A</m:t>
                  </m:r>
                </m:e>
                <m:sub>
                  <m:r>
                    <m:t>c</m:t>
                  </m:r>
                </m:sub>
              </m:sSub>
              <m:r>
                <m:t> </m:t>
              </m:r>
              <m:sSub>
                <m:e>
                  <m:r>
                    <m:t>e</m:t>
                  </m:r>
                </m:e>
                <m:sub>
                  <m:r>
                    <m:t>y</m:t>
                  </m:r>
                </m:sub>
              </m:sSub>
            </m:num>
            <m:den>
              <m:sSub>
                <m:e>
                  <m:r>
                    <m:t>A</m:t>
                  </m:r>
                </m:e>
                <m:sub>
                  <m:r>
                    <m:rPr>
                      <m:nor/>
                      <m:sty m:val="p"/>
                    </m:rPr>
                    <m:t>net</m:t>
                  </m:r>
                </m:sub>
              </m:sSub>
            </m:den>
          </m:f>
          <m:r>
            <m:rPr>
              <m:sty m:val="p"/>
            </m:rPr>
            <m:t>,</m:t>
          </m:r>
        </m:oMath>
      </m:oMathPara>
    </w:p>
    <w:p>
      <w:pPr>
        <w:pStyle w:val="FirstParagraph"/>
        <w:spacing w:line="480" w:lineRule="auto"/>
      </w:pPr>
      <w:r>
        <w:rPr>
          <w:rFonts w:ascii="Times New Roman" w:hAnsi="Times New Roman" w:cs="Times New Roman"/>
          <w:color w:val="000000"/>
          <w:sz w:val="24"/>
        </w:rPr>
        <w:t xml:space="preserve">shifted</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opposite</w:t>
      </w:r>
      <w:r>
        <w:rPr>
          <w:rFonts w:ascii="Times New Roman" w:hAnsi="Times New Roman" w:cs="Times New Roman"/>
          <w:color w:val="000000"/>
          <w:sz w:val="24"/>
        </w:rPr>
        <w:t xml:space="preserve"> </w:t>
      </w:r>
      <w:r>
        <w:rPr>
          <w:rFonts w:ascii="Times New Roman" w:hAnsi="Times New Roman" w:cs="Times New Roman"/>
          <w:color w:val="000000"/>
          <w:sz w:val="24"/>
        </w:rPr>
        <w:t xml:space="preserve">to the cavity offset because the cavity removes mass. The second moments about the net centroid follow from the parallel-axis theorem (Boresi and Schmidt 2003),</w:t>
      </w:r>
    </w:p>
    <w:p>
      <w:pPr>
        <w:pStyle w:val="BodyText"/>
        <w:spacing w:line="480" w:lineRule="auto"/>
      </w:pPr>
      <m:oMathPara>
        <m:oMathParaPr>
          <m:jc m:val="center"/>
        </m:oMathParaPr>
        <m:oMath>
          <m:sSub>
            <m:e>
              <m:r>
                <m:t>I</m:t>
              </m:r>
            </m:e>
            <m:sub>
              <m:r>
                <m:t>x</m:t>
              </m:r>
              <m:r>
                <m:t>x</m:t>
              </m:r>
            </m:sub>
          </m:sSub>
          <m:r>
            <m:rPr>
              <m:sty m:val="p"/>
            </m:rPr>
            <m:t>=</m:t>
          </m:r>
          <m:f>
            <m:fPr>
              <m:type m:val="lin"/>
            </m:fPr>
            <m:num>
              <m:r>
                <m:t>π</m:t>
              </m:r>
              <m:sSup>
                <m:e>
                  <m:r>
                    <m:t>R</m:t>
                  </m:r>
                </m:e>
                <m:sup>
                  <m:r>
                    <m:t>4</m:t>
                  </m:r>
                </m:sup>
              </m:sSup>
            </m:num>
            <m:den>
              <m:r>
                <m:t>4</m:t>
              </m:r>
            </m:den>
          </m:f>
          <m:r>
            <m:rPr>
              <m:sty m:val="p"/>
            </m:rPr>
            <m:t>−</m:t>
          </m:r>
          <m:sSubSup>
            <m:e>
              <m:r>
                <m:t>I</m:t>
              </m:r>
            </m:e>
            <m:sub>
              <m:r>
                <m:t>x</m:t>
              </m:r>
              <m:r>
                <m:t>x</m:t>
              </m:r>
            </m:sub>
            <m:sup>
              <m:r>
                <m:t>c</m:t>
              </m:r>
            </m:sup>
          </m:sSubSup>
          <m:r>
            <m:rPr>
              <m:sty m:val="p"/>
            </m:rPr>
            <m:t>−</m:t>
          </m:r>
          <m:sSub>
            <m:e>
              <m:r>
                <m:t>A</m:t>
              </m:r>
            </m:e>
            <m:sub>
              <m:r>
                <m:rPr>
                  <m:nor/>
                  <m:sty m:val="p"/>
                </m:rPr>
                <m:t>net</m:t>
              </m:r>
            </m:sub>
          </m:sSub>
          <m:r>
            <m:t> </m:t>
          </m:r>
          <m:sSubSup>
            <m:e>
              <m:r>
                <m:t>y</m:t>
              </m:r>
            </m:e>
            <m:sub>
              <m:r>
                <m:t>c</m:t>
              </m:r>
            </m:sub>
            <m:sup>
              <m:r>
                <m:t>2</m:t>
              </m:r>
            </m:sup>
          </m:sSubSup>
          <m:r>
            <m:rPr>
              <m:sty m:val="p"/>
            </m:rPr>
            <m:t>,</m:t>
          </m:r>
          <m:r>
            <m:t>  </m:t>
          </m:r>
          <m:sSub>
            <m:e>
              <m:r>
                <m:t>I</m:t>
              </m:r>
            </m:e>
            <m:sub>
              <m:r>
                <m:t>y</m:t>
              </m:r>
              <m:r>
                <m:t>y</m:t>
              </m:r>
            </m:sub>
          </m:sSub>
          <m:r>
            <m:rPr>
              <m:sty m:val="p"/>
            </m:rPr>
            <m:t>=</m:t>
          </m:r>
          <m:f>
            <m:fPr>
              <m:type m:val="lin"/>
            </m:fPr>
            <m:num>
              <m:r>
                <m:t>π</m:t>
              </m:r>
              <m:sSup>
                <m:e>
                  <m:r>
                    <m:t>R</m:t>
                  </m:r>
                </m:e>
                <m:sup>
                  <m:r>
                    <m:t>4</m:t>
                  </m:r>
                </m:sup>
              </m:sSup>
            </m:num>
            <m:den>
              <m:r>
                <m:t>4</m:t>
              </m:r>
            </m:den>
          </m:f>
          <m:r>
            <m:rPr>
              <m:sty m:val="p"/>
            </m:rPr>
            <m:t>−</m:t>
          </m:r>
          <m:sSubSup>
            <m:e>
              <m:r>
                <m:t>I</m:t>
              </m:r>
            </m:e>
            <m:sub>
              <m:r>
                <m:t>y</m:t>
              </m:r>
              <m:r>
                <m:t>y</m:t>
              </m:r>
            </m:sub>
            <m:sup>
              <m:r>
                <m:t>c</m:t>
              </m:r>
            </m:sup>
          </m:sSubSup>
          <m:r>
            <m:rPr>
              <m:sty m:val="p"/>
            </m:rPr>
            <m:t>−</m:t>
          </m:r>
          <m:sSub>
            <m:e>
              <m:r>
                <m:t>A</m:t>
              </m:r>
            </m:e>
            <m:sub>
              <m:r>
                <m:rPr>
                  <m:nor/>
                  <m:sty m:val="p"/>
                </m:rPr>
                <m:t>net</m:t>
              </m:r>
            </m:sub>
          </m:sSub>
          <m:r>
            <m:t> </m:t>
          </m:r>
          <m:sSubSup>
            <m:e>
              <m:r>
                <m:t>x</m:t>
              </m:r>
            </m:e>
            <m:sub>
              <m:r>
                <m:t>c</m:t>
              </m:r>
            </m:sub>
            <m:sup>
              <m:r>
                <m:t>2</m:t>
              </m:r>
            </m:sup>
          </m:sSubSup>
          <m:r>
            <m:rPr>
              <m:sty m:val="p"/>
            </m:rPr>
            <m:t>,</m:t>
          </m:r>
          <m:r>
            <m:t>  </m:t>
          </m:r>
          <m:sSub>
            <m:e>
              <m:r>
                <m:t>I</m:t>
              </m:r>
            </m:e>
            <m:sub>
              <m:r>
                <m:t>x</m:t>
              </m:r>
              <m:r>
                <m:t>y</m:t>
              </m:r>
            </m:sub>
          </m:sSub>
          <m:r>
            <m:rPr>
              <m:sty m:val="p"/>
            </m:rPr>
            <m:t>=</m:t>
          </m:r>
          <m:r>
            <m:rPr>
              <m:sty m:val="p"/>
            </m:rPr>
            <m:t>−</m:t>
          </m:r>
          <m:sSubSup>
            <m:e>
              <m:r>
                <m:t>I</m:t>
              </m:r>
            </m:e>
            <m:sub>
              <m:r>
                <m:t>x</m:t>
              </m:r>
              <m:r>
                <m:t>y</m:t>
              </m:r>
            </m:sub>
            <m:sup>
              <m:r>
                <m:t>c</m:t>
              </m:r>
            </m:sup>
          </m:sSubSup>
          <m:r>
            <m:rPr>
              <m:sty m:val="p"/>
            </m:rPr>
            <m:t>−</m:t>
          </m:r>
          <m:sSub>
            <m:e>
              <m:r>
                <m:t>A</m:t>
              </m:r>
            </m:e>
            <m:sub>
              <m:r>
                <m:rPr>
                  <m:nor/>
                  <m:sty m:val="p"/>
                </m:rPr>
                <m:t>net</m:t>
              </m:r>
            </m:sub>
          </m:sSub>
          <m:r>
            <m:t> </m:t>
          </m:r>
          <m:sSub>
            <m:e>
              <m:r>
                <m:t>x</m:t>
              </m:r>
            </m:e>
            <m:sub>
              <m:r>
                <m:t>c</m:t>
              </m:r>
            </m:sub>
          </m:sSub>
          <m:r>
            <m:t> </m:t>
          </m:r>
          <m:sSub>
            <m:e>
              <m:r>
                <m:t>y</m:t>
              </m:r>
            </m:e>
            <m:sub>
              <m:r>
                <m:t>c</m:t>
              </m:r>
            </m:sub>
          </m:sSub>
          <m:r>
            <m:rPr>
              <m:sty m:val="p"/>
            </m:rPr>
            <m:t>.</m:t>
          </m:r>
        </m:oMath>
      </m:oMathPara>
    </w:p>
    <w:p>
      <w:pPr>
        <w:pStyle w:val="FirstParagraph"/>
        <w:spacing w:line="480" w:lineRule="auto"/>
      </w:pPr>
      <w:r>
        <w:rPr>
          <w:rFonts w:ascii="Times New Roman" w:hAnsi="Times New Roman" w:cs="Times New Roman"/>
          <w:color w:val="000000"/>
          <w:sz w:val="24"/>
        </w:rPr>
        <w:t xml:space="preserve">For circular cavities,</w:t>
      </w:r>
      <w:r>
        <w:rPr>
          <w:rFonts w:ascii="Times New Roman" w:hAnsi="Times New Roman" w:cs="Times New Roman"/>
          <w:color w:val="000000"/>
          <w:sz w:val="24"/>
        </w:rPr>
        <w:t xml:space="preserve"> </w:t>
      </w:r>
      <m:oMath>
        <m:sSubSup>
          <m:e>
            <m:r>
              <m:t>I</m:t>
            </m:r>
          </m:e>
          <m:sub>
            <m:r>
              <m:t>x</m:t>
            </m:r>
            <m:r>
              <m:t>x</m:t>
            </m:r>
          </m:sub>
          <m:sup>
            <m:r>
              <m:t>c</m:t>
            </m:r>
          </m:sup>
        </m:sSubSup>
        <m:r>
          <m:rPr>
            <m:sty m:val="p"/>
          </m:rPr>
          <m:t>=</m:t>
        </m:r>
        <m:r>
          <m:t>π</m:t>
        </m:r>
        <m:sSubSup>
          <m:e>
            <m:r>
              <m:t>r</m:t>
            </m:r>
          </m:e>
          <m:sub>
            <m:r>
              <m:t>d</m:t>
            </m:r>
          </m:sub>
          <m:sup>
            <m:r>
              <m:t>4</m:t>
            </m:r>
          </m:sup>
        </m:sSubSup>
        <m:r>
          <m:rPr>
            <m:sty m:val="p"/>
          </m:rPr>
          <m:t>/</m:t>
        </m:r>
        <m:r>
          <m:t>4</m:t>
        </m:r>
        <m:r>
          <m:rPr>
            <m:sty m:val="p"/>
          </m:rPr>
          <m:t>+</m:t>
        </m:r>
        <m:r>
          <m:t>π</m:t>
        </m:r>
        <m:sSubSup>
          <m:e>
            <m:r>
              <m:t>r</m:t>
            </m:r>
          </m:e>
          <m:sub>
            <m:r>
              <m:t>d</m:t>
            </m:r>
          </m:sub>
          <m:sup>
            <m:r>
              <m:t>2</m:t>
            </m:r>
          </m:sup>
        </m:sSubSup>
        <m:sSubSup>
          <m:e>
            <m:r>
              <m:t>e</m:t>
            </m:r>
          </m:e>
          <m:sub>
            <m:r>
              <m:t>y</m:t>
            </m:r>
          </m:sub>
          <m:sup>
            <m:r>
              <m:t>2</m:t>
            </m:r>
          </m:sup>
        </m:sSub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analogously for</w:t>
      </w:r>
      <w:r>
        <w:rPr>
          <w:rFonts w:ascii="Times New Roman" w:hAnsi="Times New Roman" w:cs="Times New Roman"/>
          <w:color w:val="000000"/>
          <w:sz w:val="24"/>
        </w:rPr>
        <w:t xml:space="preserve"> </w:t>
      </w:r>
      <m:oMath>
        <m:sSubSup>
          <m:e>
            <m:r>
              <m:t>I</m:t>
            </m:r>
          </m:e>
          <m:sub>
            <m:r>
              <m:t>y</m:t>
            </m:r>
            <m:r>
              <m:t>y</m:t>
            </m:r>
          </m:sub>
          <m:sup>
            <m:r>
              <m:t>c</m:t>
            </m:r>
          </m:sup>
        </m:sSubSup>
      </m:oMath>
      <w:r>
        <w:rPr>
          <w:rFonts w:ascii="Times New Roman" w:hAnsi="Times New Roman" w:cs="Times New Roman"/>
          <w:color w:val="000000"/>
          <w:sz w:val="24"/>
        </w:rPr>
        <w:t xml:space="preserve">); for elliptical cavities, the standard local-frame moments</w:t>
      </w:r>
      <w:r>
        <w:rPr>
          <w:rFonts w:ascii="Times New Roman" w:hAnsi="Times New Roman" w:cs="Times New Roman"/>
          <w:color w:val="000000"/>
          <w:sz w:val="24"/>
        </w:rPr>
        <w:t xml:space="preserve"> </w:t>
      </w:r>
      <m:oMath>
        <m:r>
          <m:t>π</m:t>
        </m:r>
        <m:r>
          <m:t>a</m:t>
        </m:r>
        <m:sSup>
          <m:e>
            <m:r>
              <m:t>b</m:t>
            </m:r>
          </m:e>
          <m:sup>
            <m:r>
              <m:t>3</m:t>
            </m:r>
          </m:sup>
        </m:sSup>
        <m:r>
          <m:rPr>
            <m:sty m:val="p"/>
          </m:rPr>
          <m:t>/</m:t>
        </m:r>
        <m:r>
          <m:t>4</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w:t>
      </w:r>
      <w:r>
        <w:rPr>
          <w:rFonts w:ascii="Times New Roman" w:hAnsi="Times New Roman" w:cs="Times New Roman"/>
          <w:color w:val="000000"/>
          <w:sz w:val="24"/>
        </w:rPr>
        <w:t xml:space="preserve"> </w:t>
      </w:r>
      <m:oMath>
        <m:r>
          <m:t>π</m:t>
        </m:r>
        <m:sSup>
          <m:e>
            <m:r>
              <m:t>a</m:t>
            </m:r>
          </m:e>
          <m:sup>
            <m:r>
              <m:t>3</m:t>
            </m:r>
          </m:sup>
        </m:sSup>
        <m:r>
          <m:t>b</m:t>
        </m:r>
        <m:r>
          <m:rPr>
            <m:sty m:val="p"/>
          </m:rPr>
          <m:t>/</m:t>
        </m:r>
        <m:r>
          <m:t>4</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are rotated to the global frame using the angle</w:t>
      </w:r>
      <w:r>
        <w:rPr>
          <w:rFonts w:ascii="Times New Roman" w:hAnsi="Times New Roman" w:cs="Times New Roman"/>
          <w:color w:val="000000"/>
          <w:sz w:val="24"/>
        </w:rPr>
        <w:t xml:space="preserve"> </w:t>
      </w:r>
      <m:oMath>
        <m:r>
          <m:t>ϕ</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before parallel-axis translation. Closed-form expressions are implemented in</w:t>
      </w:r>
      <w:r>
        <w:rPr>
          <w:rFonts w:ascii="Times New Roman" w:hAnsi="Times New Roman" w:cs="Times New Roman"/>
          <w:color w:val="000000"/>
          <w:sz w:val="24"/>
        </w:rPr>
        <w:t xml:space="preserve"> </w:t>
      </w:r>
      <w:r>
        <w:rPr>
          <w:rStyle w:val="VerbatimChar"/>
          <w:rFonts w:ascii="Times New Roman" w:hAnsi="Times New Roman" w:cs="Times New Roman"/>
          <w:color w:val="000000"/>
          <w:sz w:val="24"/>
        </w:rPr>
        <w:t xml:space="preserve">geometry.py</w:t>
      </w:r>
      <w:r>
        <w:rPr>
          <w:rFonts w:ascii="Times New Roman" w:hAnsi="Times New Roman" w:cs="Times New Roman"/>
          <w:color w:val="000000"/>
          <w:sz w:val="24"/>
        </w:rPr>
        <w:t xml:space="preserve"> </w:t>
      </w:r>
      <w:r>
        <w:rPr>
          <w:rFonts w:ascii="Times New Roman" w:hAnsi="Times New Roman" w:cs="Times New Roman"/>
          <w:color w:val="000000"/>
          <w:sz w:val="24"/>
        </w:rPr>
        <w:t xml:space="preserve">(</w:t>
      </w:r>
      <w:r>
        <w:rPr>
          <w:rStyle w:val="VerbatimChar"/>
          <w:rFonts w:ascii="Times New Roman" w:hAnsi="Times New Roman" w:cs="Times New Roman"/>
          <w:color w:val="000000"/>
          <w:sz w:val="24"/>
        </w:rPr>
        <w:t xml:space="preserve">fatigue-tree2/src/eccentric_decay/</w:t>
      </w:r>
      <w:r>
        <w:rPr>
          <w:rFonts w:ascii="Times New Roman" w:hAnsi="Times New Roman" w:cs="Times New Roman"/>
          <w:color w:val="000000"/>
          <w:sz w:val="24"/>
        </w:rPr>
        <w:t xml:space="preserve">).</w:t>
      </w:r>
    </w:p>
    <w:bookmarkEnd w:id="15"/>
    <w:bookmarkStart w:id="16" w:name="X08ca835d82dd0162dc85f217dd396258a056338"/>
    <w:p>
      <w:pPr>
        <w:pStyle w:val="Heading3"/>
        <w:spacing w:line="480" w:lineRule="auto"/>
      </w:pPr>
      <w:r>
        <w:rPr>
          <w:rFonts w:ascii="Times New Roman" w:hAnsi="Times New Roman" w:cs="Times New Roman"/>
          <w:b/>
          <w:color w:val="000000"/>
          <w:sz w:val="24"/>
        </w:rPr>
        <w:t xml:space="preserve">2.2 Stress amplification factor under wind bending</w:t>
      </w:r>
    </w:p>
    <w:p>
      <w:pPr>
        <w:pStyle w:val="FirstParagraph"/>
        <w:spacing w:line="480" w:lineRule="auto"/>
      </w:pPr>
      <w:r>
        <w:rPr>
          <w:rFonts w:ascii="Times New Roman" w:hAnsi="Times New Roman" w:cs="Times New Roman"/>
          <w:color w:val="000000"/>
          <w:sz w:val="24"/>
        </w:rPr>
        <w:t xml:space="preserve">Under a horizontal wind force in direction</w:t>
      </w:r>
      <w:r>
        <w:rPr>
          <w:rFonts w:ascii="Times New Roman" w:hAnsi="Times New Roman" w:cs="Times New Roman"/>
          <w:color w:val="000000"/>
          <w:sz w:val="24"/>
        </w:rPr>
        <w:t xml:space="preserve"> </w:t>
      </w:r>
      <m:oMath>
        <m:sSub>
          <m:e>
            <m:r>
              <m:t>θ</m:t>
            </m:r>
          </m:e>
          <m:sub>
            <m:r>
              <m:t>w</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applied at the canopy, the resulting base bending moment acts about the axis perpendicular to the load direction. The signed perpendicular distance from a point</w:t>
      </w:r>
      <w:r>
        <w:rPr>
          <w:rFonts w:ascii="Times New Roman" w:hAnsi="Times New Roman" w:cs="Times New Roman"/>
          <w:color w:val="000000"/>
          <w:sz w:val="24"/>
        </w:rPr>
        <w:t xml:space="preserve"> </w:t>
      </w:r>
      <m:oMath>
        <m:r>
          <m:rPr>
            <m:sty m:val="p"/>
          </m:rPr>
          <m:t>(</m:t>
        </m:r>
        <m:r>
          <m:t>x</m:t>
        </m:r>
        <m:r>
          <m:rPr>
            <m:sty m:val="p"/>
          </m:rPr>
          <m:t>,</m:t>
        </m:r>
        <m:r>
          <m:t>y</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in centroidal coordinates to this bending axis is</w:t>
      </w:r>
    </w:p>
    <w:p>
      <w:pPr>
        <w:pStyle w:val="BodyText"/>
        <w:spacing w:line="480" w:lineRule="auto"/>
      </w:pPr>
      <m:oMathPara>
        <m:oMathParaPr>
          <m:jc m:val="center"/>
        </m:oMathParaPr>
        <m:oMath>
          <m:r>
            <m:t>d</m:t>
          </m:r>
          <m:r>
            <m:rPr>
              <m:sty m:val="p"/>
            </m:rPr>
            <m:t>(</m:t>
          </m:r>
          <m:r>
            <m:t>x</m:t>
          </m:r>
          <m:r>
            <m:rPr>
              <m:sty m:val="p"/>
            </m:rPr>
            <m:t>,</m:t>
          </m:r>
          <m:r>
            <m:t>y</m:t>
          </m:r>
          <m:r>
            <m:rPr>
              <m:sty m:val="p"/>
            </m:rPr>
            <m:t>;</m:t>
          </m:r>
          <m:sSub>
            <m:e>
              <m:r>
                <m:t>θ</m:t>
              </m:r>
            </m:e>
            <m:sub>
              <m:r>
                <m:t>w</m:t>
              </m:r>
            </m:sub>
          </m:sSub>
          <m:r>
            <m:rPr>
              <m:sty m:val="p"/>
            </m:rPr>
            <m:t>)</m:t>
          </m:r>
          <m:r>
            <m:t> </m:t>
          </m:r>
          <m:r>
            <m:rPr>
              <m:sty m:val="p"/>
            </m:rPr>
            <m:t>=</m:t>
          </m:r>
          <m:r>
            <m:t> </m:t>
          </m:r>
          <m:r>
            <m:t>x</m:t>
          </m:r>
          <m:r>
            <m:rPr>
              <m:sty m:val="p"/>
            </m:rPr>
            <m:t>cos</m:t>
          </m:r>
          <m:sSub>
            <m:e>
              <m:r>
                <m:t>θ</m:t>
              </m:r>
            </m:e>
            <m:sub>
              <m:r>
                <m:t>w</m:t>
              </m:r>
            </m:sub>
          </m:sSub>
          <m:r>
            <m:rPr>
              <m:sty m:val="p"/>
            </m:rPr>
            <m:t>+</m:t>
          </m:r>
          <m:r>
            <m:t>y</m:t>
          </m:r>
          <m:r>
            <m:rPr>
              <m:sty m:val="p"/>
            </m:rPr>
            <m:t>sin</m:t>
          </m:r>
          <m:sSub>
            <m:e>
              <m:r>
                <m:t>θ</m:t>
              </m:r>
            </m:e>
            <m:sub>
              <m:r>
                <m:t>w</m:t>
              </m:r>
            </m:sub>
          </m:sSub>
          <m:r>
            <m:rPr>
              <m:sty m:val="p"/>
            </m:rPr>
            <m:t>,</m:t>
          </m:r>
        </m:oMath>
      </m:oMathPara>
    </w:p>
    <w:p>
      <w:pPr>
        <w:pStyle w:val="FirstParagraph"/>
        <w:spacing w:line="480" w:lineRule="auto"/>
      </w:pPr>
      <w:r>
        <w:rPr>
          <w:rFonts w:ascii="Times New Roman" w:hAnsi="Times New Roman" w:cs="Times New Roman"/>
          <w:color w:val="000000"/>
          <w:sz w:val="24"/>
        </w:rPr>
        <w:t xml:space="preserve">so the moment of inertia about the bending axis is</w:t>
      </w:r>
    </w:p>
    <w:p>
      <w:pPr>
        <w:pStyle w:val="BodyText"/>
        <w:spacing w:line="480" w:lineRule="auto"/>
      </w:pPr>
      <m:oMathPara>
        <m:oMathParaPr>
          <m:jc m:val="center"/>
        </m:oMathParaPr>
        <m:oMath>
          <m:r>
            <m:t>I</m:t>
          </m:r>
          <m:r>
            <m:rPr>
              <m:sty m:val="p"/>
            </m:rPr>
            <m:t>(</m:t>
          </m:r>
          <m:sSub>
            <m:e>
              <m:r>
                <m:t>θ</m:t>
              </m:r>
            </m:e>
            <m:sub>
              <m:r>
                <m:t>w</m:t>
              </m:r>
            </m:sub>
          </m:sSub>
          <m:r>
            <m:rPr>
              <m:sty m:val="p"/>
            </m:rPr>
            <m:t>)</m:t>
          </m:r>
          <m:r>
            <m:t> </m:t>
          </m:r>
          <m:r>
            <m:rPr>
              <m:sty m:val="p"/>
            </m:rPr>
            <m:t>=</m:t>
          </m:r>
          <m:r>
            <m:t> </m:t>
          </m:r>
          <m:r>
            <m:rPr>
              <m:sty m:val="p"/>
            </m:rPr>
            <m:t>∫</m:t>
          </m:r>
          <m:sSup>
            <m:e>
              <m:r>
                <m:t>d</m:t>
              </m:r>
            </m:e>
            <m:sup>
              <m:r>
                <m:t>2</m:t>
              </m:r>
            </m:sup>
          </m:sSup>
          <m:r>
            <m:t> </m:t>
          </m:r>
          <m:r>
            <m:t>d</m:t>
          </m:r>
          <m:r>
            <m:t>A</m:t>
          </m:r>
          <m:r>
            <m:t> </m:t>
          </m:r>
          <m:r>
            <m:rPr>
              <m:sty m:val="p"/>
            </m:rPr>
            <m:t>=</m:t>
          </m:r>
          <m:r>
            <m:t> </m:t>
          </m:r>
          <m:sSup>
            <m:e>
              <m:r>
                <m:rPr>
                  <m:sty m:val="p"/>
                </m:rPr>
                <m:t>sin</m:t>
              </m:r>
            </m:e>
            <m:sup>
              <m:r>
                <m:t>2</m:t>
              </m:r>
            </m:sup>
          </m:sSup>
          <m:r>
            <m:t>​</m:t>
          </m:r>
          <m:sSub>
            <m:e>
              <m:r>
                <m:t>θ</m:t>
              </m:r>
            </m:e>
            <m:sub>
              <m:r>
                <m:t>w</m:t>
              </m:r>
            </m:sub>
          </m:sSub>
          <m:r>
            <m:t> </m:t>
          </m:r>
          <m:sSub>
            <m:e>
              <m:r>
                <m:t>I</m:t>
              </m:r>
            </m:e>
            <m:sub>
              <m:r>
                <m:t>x</m:t>
              </m:r>
              <m:r>
                <m:t>x</m:t>
              </m:r>
            </m:sub>
          </m:sSub>
          <m:r>
            <m:rPr>
              <m:sty m:val="p"/>
            </m:rPr>
            <m:t>+</m:t>
          </m:r>
          <m:sSup>
            <m:e>
              <m:r>
                <m:rPr>
                  <m:sty m:val="p"/>
                </m:rPr>
                <m:t>cos</m:t>
              </m:r>
            </m:e>
            <m:sup>
              <m:r>
                <m:t>2</m:t>
              </m:r>
            </m:sup>
          </m:sSup>
          <m:r>
            <m:t>​</m:t>
          </m:r>
          <m:sSub>
            <m:e>
              <m:r>
                <m:t>θ</m:t>
              </m:r>
            </m:e>
            <m:sub>
              <m:r>
                <m:t>w</m:t>
              </m:r>
            </m:sub>
          </m:sSub>
          <m:r>
            <m:t> </m:t>
          </m:r>
          <m:sSub>
            <m:e>
              <m:r>
                <m:t>I</m:t>
              </m:r>
            </m:e>
            <m:sub>
              <m:r>
                <m:t>y</m:t>
              </m:r>
              <m:r>
                <m:t>y</m:t>
              </m:r>
            </m:sub>
          </m:sSub>
          <m:r>
            <m:rPr>
              <m:sty m:val="p"/>
            </m:rPr>
            <m:t>+</m:t>
          </m:r>
          <m:r>
            <m:t>2</m:t>
          </m:r>
          <m:r>
            <m:rPr>
              <m:sty m:val="p"/>
            </m:rPr>
            <m:t>sin</m:t>
          </m:r>
          <m:sSub>
            <m:e>
              <m:r>
                <m:t>θ</m:t>
              </m:r>
            </m:e>
            <m:sub>
              <m:r>
                <m:t>w</m:t>
              </m:r>
            </m:sub>
          </m:sSub>
          <m:r>
            <m:rPr>
              <m:sty m:val="p"/>
            </m:rPr>
            <m:t>cos</m:t>
          </m:r>
          <m:sSub>
            <m:e>
              <m:r>
                <m:t>θ</m:t>
              </m:r>
            </m:e>
            <m:sub>
              <m:r>
                <m:t>w</m:t>
              </m:r>
            </m:sub>
          </m:sSub>
          <m:r>
            <m:t> </m:t>
          </m:r>
          <m:sSub>
            <m:e>
              <m:r>
                <m:t>I</m:t>
              </m:r>
            </m:e>
            <m:sub>
              <m:r>
                <m:t>x</m:t>
              </m:r>
              <m:r>
                <m:t>y</m:t>
              </m:r>
            </m:sub>
          </m:sSub>
          <m:r>
            <m:rPr>
              <m:sty m:val="p"/>
            </m:rPr>
            <m:t>.</m:t>
          </m:r>
        </m:oMath>
      </m:oMathPara>
    </w:p>
    <w:p>
      <w:pPr>
        <w:pStyle w:val="FirstParagraph"/>
        <w:spacing w:line="480" w:lineRule="auto"/>
      </w:pPr>
      <w:r>
        <w:rPr>
          <w:rFonts w:ascii="Times New Roman" w:hAnsi="Times New Roman" w:cs="Times New Roman"/>
          <w:color w:val="000000"/>
          <w:sz w:val="24"/>
        </w:rPr>
        <w:t xml:space="preserve">For a section whose outer fibre lies on a circle of radius</w:t>
      </w:r>
      <w:r>
        <w:rPr>
          <w:rFonts w:ascii="Times New Roman" w:hAnsi="Times New Roman" w:cs="Times New Roman"/>
          <w:color w:val="000000"/>
          <w:sz w:val="24"/>
        </w:rPr>
        <w:t xml:space="preserve"> </w:t>
      </w:r>
      <m:oMath>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centred (in the centroidal frame) at</w:t>
      </w:r>
      <w:r>
        <w:rPr>
          <w:rFonts w:ascii="Times New Roman" w:hAnsi="Times New Roman" w:cs="Times New Roman"/>
          <w:color w:val="000000"/>
          <w:sz w:val="24"/>
        </w:rPr>
        <w:t xml:space="preserve"> </w:t>
      </w:r>
      <m:oMath>
        <m:r>
          <m:rPr>
            <m:sty m:val="p"/>
          </m:rPr>
          <m:t>(</m:t>
        </m:r>
        <m:r>
          <m:rPr>
            <m:sty m:val="p"/>
          </m:rPr>
          <m:t>−</m:t>
        </m:r>
        <m:sSub>
          <m:e>
            <m:r>
              <m:t>x</m:t>
            </m:r>
          </m:e>
          <m:sub>
            <m:r>
              <m:t>c</m:t>
            </m:r>
          </m:sub>
        </m:sSub>
        <m:r>
          <m:rPr>
            <m:sty m:val="p"/>
          </m:rPr>
          <m:t>,</m:t>
        </m:r>
        <m:r>
          <m:rPr>
            <m:sty m:val="p"/>
          </m:rPr>
          <m:t>−</m:t>
        </m:r>
        <m:sSub>
          <m:e>
            <m:r>
              <m:t>y</m:t>
            </m:r>
          </m:e>
          <m:sub>
            <m:r>
              <m:t>c</m:t>
            </m:r>
          </m:sub>
        </m:sSub>
        <m:r>
          <m:rPr>
            <m:sty m:val="p"/>
          </m:rPr>
          <m:t>)</m:t>
        </m:r>
      </m:oMath>
      <w:r>
        <w:rPr>
          <w:rFonts w:ascii="Times New Roman" w:hAnsi="Times New Roman" w:cs="Times New Roman"/>
          <w:color w:val="000000"/>
          <w:sz w:val="24"/>
        </w:rPr>
        <w:t xml:space="preserve">, the maximum value of</w:t>
      </w:r>
      <w:r>
        <w:rPr>
          <w:rFonts w:ascii="Times New Roman" w:hAnsi="Times New Roman" w:cs="Times New Roman"/>
          <w:color w:val="000000"/>
          <w:sz w:val="24"/>
        </w:rPr>
        <w:t xml:space="preserve"> </w:t>
      </w:r>
      <m:oMath>
        <m:r>
          <m:rPr>
            <m:sty m:val="p"/>
          </m:rPr>
          <m:t>|</m:t>
        </m:r>
        <m:r>
          <m:t>d</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over the outer circle is</w:t>
      </w:r>
    </w:p>
    <w:p>
      <w:pPr>
        <w:pStyle w:val="BodyText"/>
        <w:spacing w:line="480" w:lineRule="auto"/>
      </w:pPr>
      <m:oMathPara>
        <m:oMathParaPr>
          <m:jc m:val="center"/>
        </m:oMathParaPr>
        <m:oMath>
          <m:r>
            <m:rPr>
              <m:sty m:val="p"/>
            </m:rPr>
            <m:t>|</m:t>
          </m:r>
          <m:r>
            <m:t>d</m:t>
          </m:r>
          <m:sSub>
            <m:e>
              <m:r>
                <m:rPr>
                  <m:sty m:val="p"/>
                </m:rPr>
                <m:t>|</m:t>
              </m:r>
            </m:e>
            <m:sub>
              <m:r>
                <m:rPr>
                  <m:sty m:val="p"/>
                </m:rPr>
                <m:t>max</m:t>
              </m:r>
            </m:sub>
          </m:sSub>
          <m:r>
            <m:rPr>
              <m:sty m:val="p"/>
            </m:rPr>
            <m:t>(</m:t>
          </m:r>
          <m:sSub>
            <m:e>
              <m:r>
                <m:t>θ</m:t>
              </m:r>
            </m:e>
            <m:sub>
              <m:r>
                <m:t>w</m:t>
              </m:r>
            </m:sub>
          </m:sSub>
          <m:r>
            <m:rPr>
              <m:sty m:val="p"/>
            </m:rPr>
            <m:t>)</m:t>
          </m:r>
          <m:r>
            <m:t> </m:t>
          </m:r>
          <m:r>
            <m:rPr>
              <m:sty m:val="p"/>
            </m:rPr>
            <m:t>=</m:t>
          </m:r>
          <m:r>
            <m:t> </m:t>
          </m:r>
          <m:r>
            <m:t>R</m:t>
          </m:r>
          <m:r>
            <m:rPr>
              <m:sty m:val="p"/>
            </m:rPr>
            <m:t>+</m:t>
          </m:r>
          <m:r>
            <m:rPr>
              <m:sty m:val="p"/>
            </m:rPr>
            <m:t>|</m:t>
          </m:r>
          <m:sSub>
            <m:e>
              <m:r>
                <m:t>x</m:t>
              </m:r>
            </m:e>
            <m:sub>
              <m:r>
                <m:t>c</m:t>
              </m:r>
            </m:sub>
          </m:sSub>
          <m:r>
            <m:rPr>
              <m:sty m:val="p"/>
            </m:rPr>
            <m:t>cos</m:t>
          </m:r>
          <m:sSub>
            <m:e>
              <m:r>
                <m:t>θ</m:t>
              </m:r>
            </m:e>
            <m:sub>
              <m:r>
                <m:t>w</m:t>
              </m:r>
            </m:sub>
          </m:sSub>
          <m:r>
            <m:rPr>
              <m:sty m:val="p"/>
            </m:rPr>
            <m:t>+</m:t>
          </m:r>
          <m:sSub>
            <m:e>
              <m:r>
                <m:t>y</m:t>
              </m:r>
            </m:e>
            <m:sub>
              <m:r>
                <m:t>c</m:t>
              </m:r>
            </m:sub>
          </m:sSub>
          <m:r>
            <m:rPr>
              <m:sty m:val="p"/>
            </m:rPr>
            <m:t>sin</m:t>
          </m:r>
          <m:sSub>
            <m:e>
              <m:r>
                <m:t>θ</m:t>
              </m:r>
            </m:e>
            <m:sub>
              <m:r>
                <m:t>w</m:t>
              </m:r>
            </m:sub>
          </m:sSub>
          <m:r>
            <m:rPr>
              <m:sty m:val="p"/>
            </m:rPr>
            <m:t>|</m:t>
          </m:r>
          <m:r>
            <m:rPr>
              <m:sty m:val="p"/>
            </m:rPr>
            <m:t>,</m:t>
          </m:r>
        </m:oMath>
      </m:oMathPara>
    </w:p>
    <w:p>
      <w:pPr>
        <w:pStyle w:val="FirstParagraph"/>
        <w:spacing w:line="480" w:lineRule="auto"/>
      </w:pPr>
      <w:r>
        <w:rPr>
          <w:rFonts w:ascii="Times New Roman" w:hAnsi="Times New Roman" w:cs="Times New Roman"/>
          <w:color w:val="000000"/>
          <w:sz w:val="24"/>
        </w:rPr>
        <w:t xml:space="preserve">so the section modulus is</w:t>
      </w:r>
      <w:r>
        <w:rPr>
          <w:rFonts w:ascii="Times New Roman" w:hAnsi="Times New Roman" w:cs="Times New Roman"/>
          <w:color w:val="000000"/>
          <w:sz w:val="24"/>
        </w:rPr>
        <w:t xml:space="preserve"> </w:t>
      </w:r>
      <m:oMath>
        <m:r>
          <m:t>S</m:t>
        </m:r>
        <m:r>
          <m:rPr>
            <m:sty m:val="p"/>
          </m:rPr>
          <m:t>(</m:t>
        </m:r>
        <m:sSub>
          <m:e>
            <m:r>
              <m:t>θ</m:t>
            </m:r>
          </m:e>
          <m:sub>
            <m:r>
              <m:t>w</m:t>
            </m:r>
          </m:sub>
        </m:sSub>
        <m:r>
          <m:rPr>
            <m:sty m:val="p"/>
          </m:rPr>
          <m:t>)</m:t>
        </m:r>
        <m:r>
          <m:rPr>
            <m:sty m:val="p"/>
          </m:rPr>
          <m:t>=</m:t>
        </m:r>
        <m:r>
          <m:t>I</m:t>
        </m:r>
        <m:r>
          <m:rPr>
            <m:sty m:val="p"/>
          </m:rPr>
          <m:t>(</m:t>
        </m:r>
        <m:sSub>
          <m:e>
            <m:r>
              <m:t>θ</m:t>
            </m:r>
          </m:e>
          <m:sub>
            <m:r>
              <m:t>w</m:t>
            </m:r>
          </m:sub>
        </m:sSub>
        <m:r>
          <m:rPr>
            <m:sty m:val="p"/>
          </m:rPr>
          <m:t>)</m:t>
        </m:r>
        <m:r>
          <m:rPr>
            <m:sty m:val="p"/>
          </m:rPr>
          <m:t>/</m:t>
        </m:r>
        <m:r>
          <m:rPr>
            <m:sty m:val="p"/>
          </m:rPr>
          <m:t>|</m:t>
        </m:r>
        <m:r>
          <m:t>d</m:t>
        </m:r>
        <m:sSub>
          <m:e>
            <m:r>
              <m:rPr>
                <m:sty m:val="p"/>
              </m:rPr>
              <m:t>|</m:t>
            </m:r>
          </m:e>
          <m:sub>
            <m:r>
              <m:rPr>
                <m:sty m:val="p"/>
              </m:rPr>
              <m:t>max</m:t>
            </m:r>
          </m:sub>
        </m:sSub>
        <m:r>
          <m:rPr>
            <m:sty m:val="p"/>
          </m:rPr>
          <m:t>(</m:t>
        </m:r>
        <m:sSub>
          <m:e>
            <m:r>
              <m:t>θ</m:t>
            </m:r>
          </m:e>
          <m:sub>
            <m:r>
              <m:t>w</m:t>
            </m:r>
          </m:sub>
        </m:sSub>
        <m:r>
          <m:rPr>
            <m:sty m:val="p"/>
          </m:rPr>
          <m:t>)</m:t>
        </m:r>
      </m:oMath>
      <w:r>
        <w:rPr>
          <w:rFonts w:ascii="Times New Roman" w:hAnsi="Times New Roman" w:cs="Times New Roman"/>
          <w:color w:val="000000"/>
          <w:sz w:val="24"/>
        </w:rPr>
        <w:t xml:space="preserve">. The Stress Amplification Factor (SAF) relative to the sound section</w:t>
      </w:r>
      <w:r>
        <w:rPr>
          <w:rFonts w:ascii="Times New Roman" w:hAnsi="Times New Roman" w:cs="Times New Roman"/>
          <w:color w:val="000000"/>
          <w:sz w:val="24"/>
        </w:rPr>
        <w:t xml:space="preserve"> </w:t>
      </w:r>
      <m:oMath>
        <m:sSub>
          <m:e>
            <m:r>
              <m:t>S</m:t>
            </m:r>
          </m:e>
          <m:sub>
            <m:r>
              <m:t>0</m:t>
            </m:r>
          </m:sub>
        </m:sSub>
        <m:r>
          <m:rPr>
            <m:sty m:val="p"/>
          </m:rPr>
          <m:t>=</m:t>
        </m:r>
        <m:r>
          <m:t>π</m:t>
        </m:r>
        <m:sSup>
          <m:e>
            <m:r>
              <m:t>R</m:t>
            </m:r>
          </m:e>
          <m:sup>
            <m:r>
              <m:t>3</m:t>
            </m:r>
          </m:sup>
        </m:sSup>
        <m:r>
          <m:rPr>
            <m:sty m:val="p"/>
          </m:rPr>
          <m:t>/</m:t>
        </m:r>
        <m:r>
          <m:t>4</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w:t>
      </w:r>
    </w:p>
    <w:p>
      <w:pPr>
        <w:pStyle w:val="BodyText"/>
        <w:spacing w:line="480" w:lineRule="auto"/>
      </w:pPr>
      <m:oMathPara>
        <m:oMathParaPr>
          <m:jc m:val="center"/>
        </m:oMathParaPr>
        <m:oMath>
          <m:r>
            <m:rPr>
              <m:nor/>
              <m:sty m:val="p"/>
            </m:rPr>
            <m:t>SAF</m:t>
          </m:r>
          <m:r>
            <m:rPr>
              <m:sty m:val="p"/>
            </m:rPr>
            <m:t>(</m:t>
          </m:r>
          <m:sSub>
            <m:e>
              <m:r>
                <m:t>θ</m:t>
              </m:r>
            </m:e>
            <m:sub>
              <m:r>
                <m:t>w</m:t>
              </m:r>
            </m:sub>
          </m:sSub>
          <m:r>
            <m:rPr>
              <m:sty m:val="p"/>
            </m:rPr>
            <m:t>)</m:t>
          </m:r>
          <m:r>
            <m:t> </m:t>
          </m:r>
          <m:r>
            <m:rPr>
              <m:sty m:val="p"/>
            </m:rPr>
            <m:t>=</m:t>
          </m:r>
          <m:r>
            <m:t> </m:t>
          </m:r>
          <m:f>
            <m:fPr>
              <m:type m:val="bar"/>
            </m:fPr>
            <m:num>
              <m:sSub>
                <m:e>
                  <m:r>
                    <m:t>S</m:t>
                  </m:r>
                </m:e>
                <m:sub>
                  <m:r>
                    <m:t>0</m:t>
                  </m:r>
                </m:sub>
              </m:sSub>
            </m:num>
            <m:den>
              <m:r>
                <m:t>S</m:t>
              </m:r>
              <m:r>
                <m:rPr>
                  <m:sty m:val="p"/>
                </m:rPr>
                <m:t>(</m:t>
              </m:r>
              <m:sSub>
                <m:e>
                  <m:r>
                    <m:t>θ</m:t>
                  </m:r>
                </m:e>
                <m:sub>
                  <m:r>
                    <m:t>w</m:t>
                  </m:r>
                </m:sub>
              </m:sSub>
              <m:r>
                <m:rPr>
                  <m:sty m:val="p"/>
                </m:rPr>
                <m:t>)</m:t>
              </m:r>
            </m:den>
          </m:f>
          <m:r>
            <m:rPr>
              <m:sty m:val="p"/>
            </m:rPr>
            <m:t>.</m:t>
          </m:r>
        </m:oMath>
      </m:oMathPara>
    </w:p>
    <w:p>
      <w:pPr>
        <w:pStyle w:val="FirstParagraph"/>
        <w:spacing w:line="480" w:lineRule="auto"/>
      </w:pPr>
      <w:r>
        <w:rPr>
          <w:rFonts w:ascii="Times New Roman" w:hAnsi="Times New Roman" w:cs="Times New Roman"/>
          <w:color w:val="000000"/>
          <w:sz w:val="24"/>
        </w:rPr>
        <w:t xml:space="preserve">In the concentric limit</w:t>
      </w:r>
      <w:r>
        <w:rPr>
          <w:rFonts w:ascii="Times New Roman" w:hAnsi="Times New Roman" w:cs="Times New Roman"/>
          <w:color w:val="000000"/>
          <w:sz w:val="24"/>
        </w:rPr>
        <w:t xml:space="preserve"> </w:t>
      </w:r>
      <m:oMath>
        <m:r>
          <m:rPr>
            <m:sty m:val="p"/>
          </m:rPr>
          <m:t>(</m:t>
        </m:r>
        <m:sSub>
          <m:e>
            <m:r>
              <m:t>x</m:t>
            </m:r>
          </m:e>
          <m:sub>
            <m:r>
              <m:t>c</m:t>
            </m:r>
          </m:sub>
        </m:sSub>
        <m:r>
          <m:rPr>
            <m:sty m:val="p"/>
          </m:rPr>
          <m:t>,</m:t>
        </m:r>
        <m:sSub>
          <m:e>
            <m:r>
              <m:t>y</m:t>
            </m:r>
          </m:e>
          <m:sub>
            <m:r>
              <m:t>c</m:t>
            </m:r>
          </m:sub>
        </m:sSub>
        <m:r>
          <m:rPr>
            <m:sty m:val="p"/>
          </m:rPr>
          <m:t>)</m:t>
        </m:r>
        <m:r>
          <m:rPr>
            <m:sty m:val="p"/>
          </m:rPr>
          <m:t>=</m:t>
        </m:r>
        <m:r>
          <m:rPr>
            <m:sty m:val="p"/>
          </m:rPr>
          <m:t>(</m:t>
        </m:r>
        <m:r>
          <m:t>0</m:t>
        </m:r>
        <m:r>
          <m:rPr>
            <m:sty m:val="p"/>
          </m:rPr>
          <m:t>,</m:t>
        </m:r>
        <m:r>
          <m:t>0</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w:t>
      </w:r>
      <w:r>
        <w:rPr>
          <w:rFonts w:ascii="Times New Roman" w:hAnsi="Times New Roman" w:cs="Times New Roman"/>
          <w:color w:val="000000"/>
          <w:sz w:val="24"/>
        </w:rPr>
        <w:t xml:space="preserve"> </w:t>
      </w:r>
      <m:oMath>
        <m:sSub>
          <m:e>
            <m:r>
              <m:t>I</m:t>
            </m:r>
          </m:e>
          <m:sub>
            <m:r>
              <m:t>x</m:t>
            </m:r>
            <m:r>
              <m:t>x</m:t>
            </m:r>
          </m:sub>
        </m:sSub>
        <m:r>
          <m:rPr>
            <m:sty m:val="p"/>
          </m:rPr>
          <m:t>=</m:t>
        </m:r>
        <m:sSub>
          <m:e>
            <m:r>
              <m:t>I</m:t>
            </m:r>
          </m:e>
          <m:sub>
            <m:r>
              <m:t>y</m:t>
            </m:r>
            <m:r>
              <m:t>y</m:t>
            </m:r>
          </m:sub>
        </m:sSub>
        <m:r>
          <m:rPr>
            <m:sty m:val="p"/>
          </m:rPr>
          <m:t>=</m:t>
        </m:r>
        <m:r>
          <m:t>π</m:t>
        </m:r>
        <m:r>
          <m:rPr>
            <m:sty m:val="p"/>
          </m:rPr>
          <m:t>(</m:t>
        </m:r>
        <m:sSup>
          <m:e>
            <m:r>
              <m:t>R</m:t>
            </m:r>
          </m:e>
          <m:sup>
            <m:r>
              <m:t>4</m:t>
            </m:r>
          </m:sup>
        </m:sSup>
        <m:r>
          <m:rPr>
            <m:sty m:val="p"/>
          </m:rPr>
          <m:t>−</m:t>
        </m:r>
        <m:sSubSup>
          <m:e>
            <m:r>
              <m:t>r</m:t>
            </m:r>
          </m:e>
          <m:sub>
            <m:r>
              <m:t>d</m:t>
            </m:r>
          </m:sub>
          <m:sup>
            <m:r>
              <m:t>4</m:t>
            </m:r>
          </m:sup>
        </m:sSubSup>
        <m:r>
          <m:rPr>
            <m:sty m:val="p"/>
          </m:rPr>
          <m:t>)</m:t>
        </m:r>
        <m:r>
          <m:rPr>
            <m:sty m:val="p"/>
          </m:rPr>
          <m:t>/</m:t>
        </m:r>
        <m:r>
          <m:t>4</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sSub>
          <m:e>
            <m:r>
              <m:t>I</m:t>
            </m:r>
          </m:e>
          <m:sub>
            <m:r>
              <m:t>x</m:t>
            </m:r>
            <m:r>
              <m:t>y</m:t>
            </m:r>
          </m:sub>
        </m:sSub>
        <m:r>
          <m:rPr>
            <m:sty m:val="p"/>
          </m:rPr>
          <m:t>=</m:t>
        </m:r>
        <m:r>
          <m:t>0</m:t>
        </m:r>
      </m:oMath>
      <w:r>
        <w:rPr>
          <w:rFonts w:ascii="Times New Roman" w:hAnsi="Times New Roman" w:cs="Times New Roman"/>
          <w:color w:val="000000"/>
          <w:sz w:val="24"/>
        </w:rPr>
        <w:t xml:space="preserve">, this expression reduces analytically to</w:t>
      </w:r>
      <w:r>
        <w:rPr>
          <w:rFonts w:ascii="Times New Roman" w:hAnsi="Times New Roman" w:cs="Times New Roman"/>
          <w:color w:val="000000"/>
          <w:sz w:val="24"/>
        </w:rPr>
        <w:t xml:space="preserve"> </w:t>
      </w:r>
      <m:oMath>
        <m:r>
          <m:rPr>
            <m:nor/>
            <m:sty m:val="p"/>
          </m:rPr>
          <m:t>SAF</m:t>
        </m:r>
        <m:r>
          <m:rPr>
            <m:sty m:val="p"/>
          </m:rPr>
          <m:t>=</m:t>
        </m:r>
        <m:r>
          <m:t>1</m:t>
        </m:r>
        <m:r>
          <m:rPr>
            <m:sty m:val="p"/>
          </m:rPr>
          <m:t>/</m:t>
        </m:r>
        <m:d>
          <m:dPr>
            <m:begChr m:val="["/>
            <m:sepChr m:val=""/>
            <m:endChr m:val="]"/>
            <m:grow/>
          </m:dPr>
          <m:e>
            <m:r>
              <m:t>1</m:t>
            </m:r>
            <m:r>
              <m:rPr>
                <m:sty m:val="p"/>
              </m:rPr>
              <m:t>−</m:t>
            </m:r>
            <m:r>
              <m:rPr>
                <m:sty m:val="p"/>
              </m:rPr>
              <m:t>(</m:t>
            </m:r>
            <m:sSub>
              <m:e>
                <m:r>
                  <m:t>r</m:t>
                </m:r>
              </m:e>
              <m:sub>
                <m:r>
                  <m:t>d</m:t>
                </m:r>
              </m:sub>
            </m:sSub>
            <m:r>
              <m:rPr>
                <m:sty m:val="p"/>
              </m:rPr>
              <m:t>/</m:t>
            </m:r>
            <m:r>
              <m:t>R</m:t>
            </m:r>
            <m:sSup>
              <m:e>
                <m:r>
                  <m:rPr>
                    <m:sty m:val="p"/>
                  </m:rPr>
                  <m:t>)</m:t>
                </m:r>
              </m:e>
              <m:sup>
                <m:r>
                  <m:t>4</m:t>
                </m:r>
              </m:sup>
            </m:sSup>
          </m:e>
        </m:d>
      </m:oMath>
      <w:r>
        <w:rPr>
          <w:rFonts w:ascii="Times New Roman" w:hAnsi="Times New Roman" w:cs="Times New Roman"/>
          <w:color w:val="000000"/>
          <w:sz w:val="24"/>
        </w:rPr>
        <w:t xml:space="preserve">, recovering the Mattheck formula for any</w:t>
      </w:r>
      <w:r>
        <w:rPr>
          <w:rFonts w:ascii="Times New Roman" w:hAnsi="Times New Roman" w:cs="Times New Roman"/>
          <w:color w:val="000000"/>
          <w:sz w:val="24"/>
        </w:rPr>
        <w:t xml:space="preserve"> </w:t>
      </w:r>
      <m:oMath>
        <m:sSub>
          <m:e>
            <m:r>
              <m:t>θ</m:t>
            </m:r>
          </m:e>
          <m:sub>
            <m:r>
              <m:t>w</m:t>
            </m:r>
          </m:sub>
        </m:sSub>
      </m:oMath>
      <w:r>
        <w:rPr>
          <w:rFonts w:ascii="Times New Roman" w:hAnsi="Times New Roman" w:cs="Times New Roman"/>
          <w:color w:val="000000"/>
          <w:sz w:val="24"/>
        </w:rPr>
        <w:t xml:space="preserve">. Numerical verification (Section 3.1) shows agreement to machine precision, with a maximum relative error of</w:t>
      </w:r>
      <w:r>
        <w:rPr>
          <w:rFonts w:ascii="Times New Roman" w:hAnsi="Times New Roman" w:cs="Times New Roman"/>
          <w:color w:val="000000"/>
          <w:sz w:val="24"/>
        </w:rPr>
        <w:t xml:space="preserve"> </w:t>
      </w:r>
      <m:oMath>
        <m:r>
          <m:t>2.22</m:t>
        </m:r>
        <m:r>
          <m:rPr>
            <m:sty m:val="p"/>
          </m:rPr>
          <m:t>×</m:t>
        </m:r>
        <m:sSup>
          <m:e>
            <m:r>
              <m:t>10</m:t>
            </m:r>
          </m:e>
          <m:sup>
            <m:r>
              <m:rPr>
                <m:sty m:val="p"/>
              </m:rPr>
              <m:t>−</m:t>
            </m:r>
            <m:r>
              <m:t>16</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across seven decay levels.</w:t>
      </w:r>
    </w:p>
    <w:bookmarkEnd w:id="16"/>
    <w:bookmarkStart w:id="17" w:name="monte-carlo-sampling"/>
    <w:p>
      <w:pPr>
        <w:pStyle w:val="Heading3"/>
        <w:spacing w:line="480" w:lineRule="auto"/>
      </w:pPr>
      <w:r>
        <w:rPr>
          <w:rFonts w:ascii="Times New Roman" w:hAnsi="Times New Roman" w:cs="Times New Roman"/>
          <w:b/>
          <w:color w:val="000000"/>
          <w:sz w:val="24"/>
        </w:rPr>
        <w:t xml:space="preserve">2.3 Monte Carlo sampling</w:t>
      </w:r>
    </w:p>
    <w:p>
      <w:pPr>
        <w:pStyle w:val="FirstParagraph"/>
        <w:spacing w:line="480" w:lineRule="auto"/>
      </w:pPr>
      <w:r>
        <w:rPr>
          <w:rFonts w:ascii="Times New Roman" w:hAnsi="Times New Roman" w:cs="Times New Roman"/>
          <w:color w:val="000000"/>
          <w:sz w:val="24"/>
        </w:rPr>
        <w:t xml:space="preserve">For each combination of</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S-N curve,</w:t>
      </w:r>
      <w:r>
        <w:rPr>
          <w:rFonts w:ascii="Times New Roman" w:hAnsi="Times New Roman" w:cs="Times New Roman"/>
          <w:color w:val="000000"/>
          <w:sz w:val="24"/>
        </w:rPr>
        <w:t xml:space="preserve"> </w:t>
      </w:r>
      <m:oMath>
        <m:r>
          <m:t>n</m:t>
        </m:r>
        <m:r>
          <m:rPr>
            <m:sty m:val="p"/>
          </m:rPr>
          <m:t>=</m:t>
        </m:r>
        <m:r>
          <m:t>10</m:t>
        </m:r>
        <m:r>
          <m:t> </m:t>
        </m:r>
        <m:r>
          <m:t>000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eccentric-circular cavity geometries were drawn from the joint prior</w:t>
      </w:r>
    </w:p>
    <w:p>
      <w:pPr>
        <w:pStyle w:val="BodyText"/>
        <w:spacing w:line="480" w:lineRule="auto"/>
      </w:pPr>
      <m:oMathPara>
        <m:oMathParaPr>
          <m:jc m:val="center"/>
        </m:oMathParaPr>
        <m:oMath>
          <m:sSub>
            <m:e>
              <m:r>
                <m:t>e</m:t>
              </m:r>
            </m:e>
            <m:sub>
              <m:r>
                <m:rPr>
                  <m:nor/>
                  <m:sty m:val="p"/>
                </m:rPr>
                <m:t>norm</m:t>
              </m:r>
            </m:sub>
          </m:sSub>
          <m:r>
            <m:rPr>
              <m:sty m:val="p"/>
            </m:rPr>
            <m:t>∼</m:t>
          </m:r>
          <m:r>
            <m:rPr>
              <m:nor/>
              <m:sty m:val="p"/>
            </m:rPr>
            <m:t>Beta</m:t>
          </m:r>
          <m:r>
            <m:rPr>
              <m:sty m:val="p"/>
            </m:rPr>
            <m:t>(</m:t>
          </m:r>
          <m:r>
            <m:t>2</m:t>
          </m:r>
          <m:r>
            <m:rPr>
              <m:sty m:val="p"/>
            </m:rPr>
            <m:t>,</m:t>
          </m:r>
          <m:r>
            <m:t>2</m:t>
          </m:r>
          <m:r>
            <m:rPr>
              <m:sty m:val="p"/>
            </m:rPr>
            <m:t>)</m:t>
          </m:r>
          <m:r>
            <m:rPr>
              <m:sty m:val="p"/>
            </m:rPr>
            <m:t>,</m:t>
          </m:r>
          <m:r>
            <m:t>  </m:t>
          </m:r>
          <m:sSub>
            <m:e>
              <m:r>
                <m:t>θ</m:t>
              </m:r>
            </m:e>
            <m:sub>
              <m:r>
                <m:t>e</m:t>
              </m:r>
            </m:sub>
          </m:sSub>
          <m:r>
            <m:rPr>
              <m:sty m:val="p"/>
            </m:rPr>
            <m:t>∼</m:t>
          </m:r>
          <m:r>
            <m:t>U</m:t>
          </m:r>
          <m:r>
            <m:rPr>
              <m:sty m:val="p"/>
            </m:rPr>
            <m:t>[</m:t>
          </m:r>
          <m:r>
            <m:t>0</m:t>
          </m:r>
          <m:r>
            <m:rPr>
              <m:sty m:val="p"/>
            </m:rPr>
            <m:t>,</m:t>
          </m:r>
          <m:r>
            <m:t>2</m:t>
          </m:r>
          <m:r>
            <m:t>π</m:t>
          </m:r>
          <m:r>
            <m:rPr>
              <m:sty m:val="p"/>
            </m:rPr>
            <m:t>)</m:t>
          </m:r>
          <m:r>
            <m:rPr>
              <m:sty m:val="p"/>
            </m:rPr>
            <m:t>,</m:t>
          </m:r>
        </m:oMath>
      </m:oMathPara>
    </w:p>
    <w:p>
      <w:pPr>
        <w:pStyle w:val="FirstParagraph"/>
        <w:spacing w:line="480" w:lineRule="auto"/>
      </w:pPr>
      <w:r>
        <w:rPr>
          <w:rFonts w:ascii="Times New Roman" w:hAnsi="Times New Roman" w:cs="Times New Roman"/>
          <w:color w:val="000000"/>
          <w:sz w:val="24"/>
        </w:rPr>
        <w:t xml:space="preserve">with</w:t>
      </w:r>
      <w:r>
        <w:rPr>
          <w:rFonts w:ascii="Times New Roman" w:hAnsi="Times New Roman" w:cs="Times New Roman"/>
          <w:color w:val="000000"/>
          <w:sz w:val="24"/>
        </w:rPr>
        <w:t xml:space="preserve"> </w:t>
      </w:r>
      <m:oMath>
        <m:sSub>
          <m:e>
            <m:r>
              <m:t>θ</m:t>
            </m:r>
          </m:e>
          <m:sub>
            <m:r>
              <m:t>e</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the offset direction. The Beta(2, 2) prior is symmetric about</w:t>
      </w:r>
      <w:r>
        <w:rPr>
          <w:rFonts w:ascii="Times New Roman" w:hAnsi="Times New Roman" w:cs="Times New Roman"/>
          <w:color w:val="000000"/>
          <w:sz w:val="24"/>
        </w:rPr>
        <w:t xml:space="preserve"> </w:t>
      </w:r>
      <m:oMath>
        <m:sSub>
          <m:e>
            <m:r>
              <m:t>e</m:t>
            </m:r>
          </m:e>
          <m:sub>
            <m:r>
              <m:rPr>
                <m:nor/>
                <m:sty m:val="p"/>
              </m:rPr>
              <m:t>norm</m:t>
            </m:r>
          </m:sub>
        </m:sSub>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weakly informative — it does not assume that cavities are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typically</w:t>
      </w:r>
      <w:r>
        <w:rPr>
          <w:rFonts w:ascii="Times New Roman" w:hAnsi="Times New Roman" w:cs="Times New Roman"/>
          <w:color w:val="000000"/>
          <w:sz w:val="24"/>
        </w:rPr>
        <w:t xml:space="preserve"> </w:t>
      </w:r>
      <w:r>
        <w:rPr>
          <w:rFonts w:ascii="Times New Roman" w:hAnsi="Times New Roman" w:cs="Times New Roman"/>
          <w:color w:val="000000"/>
          <w:sz w:val="24"/>
        </w:rPr>
        <w:t xml:space="preserve">mild or</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typically</w:t>
      </w:r>
      <w:r>
        <w:rPr>
          <w:rFonts w:ascii="Times New Roman" w:hAnsi="Times New Roman" w:cs="Times New Roman"/>
          <w:color w:val="000000"/>
          <w:sz w:val="24"/>
        </w:rPr>
        <w:t xml:space="preserve"> </w:t>
      </w:r>
      <w:r>
        <w:rPr>
          <w:rFonts w:ascii="Times New Roman" w:hAnsi="Times New Roman" w:cs="Times New Roman"/>
          <w:color w:val="000000"/>
          <w:sz w:val="24"/>
        </w:rPr>
        <w:t xml:space="preserve">severe. Sensitivity to this choice is assessed in Section 3.6 with three additional priors. The uniform prior on offset direction reflects the dominant role of stochastic mechanical wounds (pruning, vehicle impact, initial entry points for fungal hyphae through bark damage) in urban-tree decay initiation (Schwarze 2007; Kane and Ryan 2004). A separate elliptical Monte Carlo with semi-axis aspect ratio</w:t>
      </w:r>
      <w:r>
        <w:rPr>
          <w:rFonts w:ascii="Times New Roman" w:hAnsi="Times New Roman" w:cs="Times New Roman"/>
          <w:color w:val="000000"/>
          <w:sz w:val="24"/>
        </w:rPr>
        <w:t xml:space="preserve"> </w:t>
      </w:r>
      <m:oMath>
        <m:r>
          <m:t>a</m:t>
        </m:r>
        <m:r>
          <m:rPr>
            <m:sty m:val="p"/>
          </m:rPr>
          <m:t>/</m:t>
        </m:r>
        <m:r>
          <m:t>b</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drawn from</w:t>
      </w:r>
      <w:r>
        <w:rPr>
          <w:rFonts w:ascii="Times New Roman" w:hAnsi="Times New Roman" w:cs="Times New Roman"/>
          <w:color w:val="000000"/>
          <w:sz w:val="24"/>
        </w:rPr>
        <w:t xml:space="preserve"> </w:t>
      </w:r>
      <m:oMath>
        <m:r>
          <m:rPr>
            <m:nor/>
            <m:sty m:val="p"/>
          </m:rPr>
          <m:t>LogNormal</m:t>
        </m:r>
        <m:r>
          <m:rPr>
            <m:sty m:val="p"/>
          </m:rPr>
          <m:t>(</m:t>
        </m:r>
        <m:r>
          <m:t>0</m:t>
        </m:r>
        <m:r>
          <m:rPr>
            <m:sty m:val="p"/>
          </m:rPr>
          <m:t>,</m:t>
        </m:r>
        <m:r>
          <m:t>0.4</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orientation</w:t>
      </w:r>
      <w:r>
        <w:rPr>
          <w:rFonts w:ascii="Times New Roman" w:hAnsi="Times New Roman" w:cs="Times New Roman"/>
          <w:color w:val="000000"/>
          <w:sz w:val="24"/>
        </w:rPr>
        <w:t xml:space="preserve"> </w:t>
      </w:r>
      <m:oMath>
        <m:r>
          <m:t>ϕ</m:t>
        </m:r>
        <m:r>
          <m:rPr>
            <m:sty m:val="p"/>
          </m:rPr>
          <m:t>∼</m:t>
        </m:r>
        <m:r>
          <m:t>U</m:t>
        </m:r>
        <m:r>
          <m:rPr>
            <m:sty m:val="p"/>
          </m:rPr>
          <m:t>[</m:t>
        </m:r>
        <m:r>
          <m:t>0</m:t>
        </m:r>
        <m:r>
          <m:rPr>
            <m:sty m:val="p"/>
          </m:rPr>
          <m:t>,</m:t>
        </m:r>
        <m:r>
          <m:t>2</m:t>
        </m:r>
        <m:r>
          <m:t>π</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extends the analysis (Section 3.6).</w:t>
      </w:r>
    </w:p>
    <w:p>
      <w:pPr>
        <w:pStyle w:val="BodyText"/>
        <w:spacing w:line="480" w:lineRule="auto"/>
      </w:pPr>
      <w:r>
        <w:rPr>
          <w:rFonts w:ascii="Times New Roman" w:hAnsi="Times New Roman" w:cs="Times New Roman"/>
          <w:color w:val="000000"/>
          <w:sz w:val="24"/>
        </w:rPr>
        <w:t xml:space="preserve">For the wind-direction integration we considered three distributions: an isotropic baseline</w:t>
      </w:r>
      <w:r>
        <w:rPr>
          <w:rFonts w:ascii="Times New Roman" w:hAnsi="Times New Roman" w:cs="Times New Roman"/>
          <w:color w:val="000000"/>
          <w:sz w:val="24"/>
        </w:rPr>
        <w:t xml:space="preserve"> </w:t>
      </w:r>
      <m:oMath>
        <m:r>
          <m:t>U</m:t>
        </m:r>
        <m:r>
          <m:rPr>
            <m:sty m:val="p"/>
          </m:rPr>
          <m:t>[</m:t>
        </m:r>
        <m:r>
          <m:t>0</m:t>
        </m:r>
        <m:r>
          <m:rPr>
            <m:sty m:val="p"/>
          </m:rPr>
          <m:t>,</m:t>
        </m:r>
        <m:r>
          <m:t>2</m:t>
        </m:r>
        <m:r>
          <m:t>π</m:t>
        </m:r>
        <m:r>
          <m:rPr>
            <m:sty m:val="p"/>
          </m:rPr>
          <m:t>)</m:t>
        </m:r>
      </m:oMath>
      <w:r>
        <w:rPr>
          <w:rFonts w:ascii="Times New Roman" w:hAnsi="Times New Roman" w:cs="Times New Roman"/>
          <w:color w:val="000000"/>
          <w:sz w:val="24"/>
        </w:rPr>
        <w:t xml:space="preserve">, an empirical Seoul 8-bin wind rose (with NW dominance reflecting the typhoon-relevant high-wind tail), and an empirical Jeju 8-bin wind rose (with N/NE dominance). The independence between cavity orientation and wind direction is the single load-bearing assumption of the framework; its implications are derived in Section 4.1.</w:t>
      </w:r>
    </w:p>
    <w:bookmarkEnd w:id="17"/>
    <w:bookmarkStart w:id="18" w:name="damage-multiplier-formulation"/>
    <w:p>
      <w:pPr>
        <w:pStyle w:val="Heading3"/>
        <w:spacing w:line="480" w:lineRule="auto"/>
      </w:pPr>
      <w:r>
        <w:rPr>
          <w:rFonts w:ascii="Times New Roman" w:hAnsi="Times New Roman" w:cs="Times New Roman"/>
          <w:b/>
          <w:color w:val="000000"/>
          <w:sz w:val="24"/>
        </w:rPr>
        <w:t xml:space="preserve">2.4 Damage-multiplier formulation</w:t>
      </w:r>
    </w:p>
    <w:p>
      <w:pPr>
        <w:pStyle w:val="FirstParagraph"/>
        <w:spacing w:line="480" w:lineRule="auto"/>
      </w:pPr>
      <w:r>
        <w:rPr>
          <w:rFonts w:ascii="Times New Roman" w:hAnsi="Times New Roman" w:cs="Times New Roman"/>
          <w:color w:val="000000"/>
          <w:sz w:val="24"/>
        </w:rPr>
        <w:t xml:space="preserve">For a power-law S-N relation</w:t>
      </w:r>
      <w:r>
        <w:rPr>
          <w:rFonts w:ascii="Times New Roman" w:hAnsi="Times New Roman" w:cs="Times New Roman"/>
          <w:color w:val="000000"/>
          <w:sz w:val="24"/>
        </w:rPr>
        <w:t xml:space="preserve"> </w:t>
      </w:r>
      <m:oMath>
        <m:r>
          <m:t>σ</m:t>
        </m:r>
        <m:r>
          <m:rPr>
            <m:sty m:val="p"/>
          </m:rPr>
          <m:t>∝</m:t>
        </m:r>
        <m:sSup>
          <m:e>
            <m:r>
              <m:t>N</m:t>
            </m:r>
          </m:e>
          <m:sup>
            <m:r>
              <m:rPr>
                <m:sty m:val="p"/>
              </m:rPr>
              <m:t>−</m:t>
            </m:r>
            <m:r>
              <m:t>b</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(Niklas 1992), Miner damage scales with stress amplitude as</w:t>
      </w:r>
      <w:r>
        <w:rPr>
          <w:rFonts w:ascii="Times New Roman" w:hAnsi="Times New Roman" w:cs="Times New Roman"/>
          <w:color w:val="000000"/>
          <w:sz w:val="24"/>
        </w:rPr>
        <w:t xml:space="preserve"> </w:t>
      </w:r>
      <m:oMath>
        <m:r>
          <m:t>D</m:t>
        </m:r>
        <m:r>
          <m:rPr>
            <m:sty m:val="p"/>
          </m:rPr>
          <m:t>∝</m:t>
        </m:r>
        <m:sSup>
          <m:e>
            <m:r>
              <m:t>σ</m:t>
            </m:r>
          </m:e>
          <m:sup>
            <m:r>
              <m:t>1</m:t>
            </m:r>
            <m:r>
              <m:rPr>
                <m:sty m:val="p"/>
              </m:rPr>
              <m:t>/</m:t>
            </m:r>
            <m:r>
              <m:t>b</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(Miner 1945). Because the eccentric correction acts purely as a multiplicative stress factor on the entire stress history, the damage of a Paper I rainflow record scaled by</w:t>
      </w:r>
      <w:r>
        <w:rPr>
          <w:rFonts w:ascii="Times New Roman" w:hAnsi="Times New Roman" w:cs="Times New Roman"/>
          <w:color w:val="000000"/>
          <w:sz w:val="24"/>
        </w:rPr>
        <w:t xml:space="preserve"> </w:t>
      </w:r>
      <m:oMath>
        <m:r>
          <m:rPr>
            <m:nor/>
            <m:sty m:val="p"/>
          </m:rPr>
          <m:t>SAF</m:t>
        </m:r>
        <m:r>
          <m:rPr>
            <m:sty m:val="p"/>
          </m:rPr>
          <m:t>(</m:t>
        </m:r>
        <m:sSub>
          <m:e>
            <m:r>
              <m:t>θ</m:t>
            </m:r>
          </m:e>
          <m:sub>
            <m:r>
              <m:t>w</m:t>
            </m:r>
          </m:sub>
        </m:sSub>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w:t>
      </w:r>
    </w:p>
    <w:p>
      <w:pPr>
        <w:pStyle w:val="BodyText"/>
        <w:spacing w:line="480" w:lineRule="auto"/>
      </w:pPr>
      <m:oMathPara>
        <m:oMathParaPr>
          <m:jc m:val="center"/>
        </m:oMathParaPr>
        <m:oMath>
          <m:r>
            <m:t>D</m:t>
          </m:r>
          <m:r>
            <m:rPr>
              <m:sty m:val="p"/>
            </m:rPr>
            <m:t>(</m:t>
          </m:r>
          <m:sSub>
            <m:e>
              <m:r>
                <m:t>θ</m:t>
              </m:r>
            </m:e>
            <m:sub>
              <m:r>
                <m:t>w</m:t>
              </m:r>
            </m:sub>
          </m:sSub>
          <m:r>
            <m:rPr>
              <m:sty m:val="p"/>
            </m:rPr>
            <m:t>)</m:t>
          </m:r>
          <m:r>
            <m:t> </m:t>
          </m:r>
          <m:r>
            <m:rPr>
              <m:sty m:val="p"/>
            </m:rPr>
            <m:t>=</m:t>
          </m:r>
          <m:r>
            <m:t> </m:t>
          </m:r>
          <m:r>
            <m:rPr>
              <m:nor/>
              <m:sty m:val="p"/>
            </m:rPr>
            <m:t>SAF</m:t>
          </m:r>
          <m:r>
            <m:rPr>
              <m:sty m:val="p"/>
            </m:rPr>
            <m:t>(</m:t>
          </m:r>
          <m:sSub>
            <m:e>
              <m:r>
                <m:t>θ</m:t>
              </m:r>
            </m:e>
            <m:sub>
              <m:r>
                <m:t>w</m:t>
              </m:r>
            </m:sub>
          </m:sSub>
          <m:sSup>
            <m:e>
              <m:r>
                <m:rPr>
                  <m:sty m:val="p"/>
                </m:rPr>
                <m:t>)</m:t>
              </m:r>
            </m:e>
            <m:sup>
              <m:r>
                <m:t>1</m:t>
              </m:r>
              <m:r>
                <m:rPr>
                  <m:sty m:val="p"/>
                </m:rPr>
                <m:t>/</m:t>
              </m:r>
              <m:r>
                <m:t>b</m:t>
              </m:r>
            </m:sup>
          </m:sSup>
          <m:r>
            <m:t> </m:t>
          </m:r>
          <m:sSub>
            <m:e>
              <m:r>
                <m:t>D</m:t>
              </m:r>
            </m:e>
            <m:sub>
              <m:r>
                <m:rPr>
                  <m:nor/>
                  <m:sty m:val="p"/>
                </m:rPr>
                <m:t>baseline</m:t>
              </m:r>
            </m:sub>
          </m:sSub>
          <m:r>
            <m:rPr>
              <m:sty m:val="p"/>
            </m:rPr>
            <m:t>,</m:t>
          </m:r>
        </m:oMath>
      </m:oMathPara>
    </w:p>
    <w:p>
      <w:pPr>
        <w:pStyle w:val="FirstParagraph"/>
        <w:spacing w:line="480" w:lineRule="auto"/>
      </w:pPr>
      <w:r>
        <w:rPr>
          <w:rFonts w:ascii="Times New Roman" w:hAnsi="Times New Roman" w:cs="Times New Roman"/>
          <w:color w:val="000000"/>
          <w:sz w:val="24"/>
        </w:rPr>
        <w:t xml:space="preserve">and the expected damage under a wind direction distribution</w:t>
      </w:r>
      <w:r>
        <w:rPr>
          <w:rFonts w:ascii="Times New Roman" w:hAnsi="Times New Roman" w:cs="Times New Roman"/>
          <w:color w:val="000000"/>
          <w:sz w:val="24"/>
        </w:rPr>
        <w:t xml:space="preserve"> </w:t>
      </w:r>
      <m:oMath>
        <m:r>
          <m:t>p</m:t>
        </m:r>
        <m:r>
          <m:rPr>
            <m:sty m:val="p"/>
          </m:rPr>
          <m:t>(</m:t>
        </m:r>
        <m:sSub>
          <m:e>
            <m:r>
              <m:t>θ</m:t>
            </m:r>
          </m:e>
          <m:sub>
            <m:r>
              <m:t>w</m:t>
            </m:r>
          </m:sub>
        </m:sSub>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w:t>
      </w:r>
    </w:p>
    <w:p>
      <w:pPr>
        <w:pStyle w:val="BodyText"/>
        <w:spacing w:line="480" w:lineRule="auto"/>
      </w:pPr>
      <m:oMathPara>
        <m:oMathParaPr>
          <m:jc m:val="center"/>
        </m:oMathParaPr>
        <m:oMath>
          <m:sSub>
            <m:e>
              <m:r>
                <m:t>D</m:t>
              </m:r>
            </m:e>
            <m:sub>
              <m:r>
                <m:rPr>
                  <m:nor/>
                  <m:sty m:val="p"/>
                </m:rPr>
                <m:t>eff</m:t>
              </m:r>
            </m:sub>
          </m:sSub>
          <m:r>
            <m:t> </m:t>
          </m:r>
          <m:r>
            <m:rPr>
              <m:sty m:val="p"/>
            </m:rPr>
            <m:t>=</m:t>
          </m:r>
          <m:r>
            <m:t> </m:t>
          </m:r>
          <m:sSub>
            <m:e>
              <m:r>
                <m:t>D</m:t>
              </m:r>
            </m:e>
            <m:sub>
              <m:r>
                <m:rPr>
                  <m:nor/>
                  <m:sty m:val="p"/>
                </m:rPr>
                <m:t>baseline</m:t>
              </m:r>
            </m:sub>
          </m:sSub>
          <m:r>
            <m:rPr>
              <m:sty m:val="p"/>
            </m:rPr>
            <m:t>⋅</m:t>
          </m:r>
          <m:sSub>
            <m:e>
              <m:r>
                <m:rPr>
                  <m:scr m:val="double-struck"/>
                  <m:sty m:val="p"/>
                </m:rPr>
                <m:t>E</m:t>
              </m:r>
            </m:e>
            <m:sub>
              <m:sSub>
                <m:e>
                  <m:r>
                    <m:t>θ</m:t>
                  </m:r>
                </m:e>
                <m:sub>
                  <m:r>
                    <m:t>w</m:t>
                  </m:r>
                </m:sub>
              </m:sSub>
            </m:sub>
          </m:sSub>
          <m:r>
            <m:t>​</m:t>
          </m:r>
          <m:d>
            <m:dPr>
              <m:begChr m:val="["/>
              <m:sepChr m:val=""/>
              <m:endChr m:val="]"/>
              <m:grow/>
            </m:dPr>
            <m:e>
              <m:r>
                <m:rPr>
                  <m:nor/>
                  <m:sty m:val="p"/>
                </m:rPr>
                <m:t>SAF</m:t>
              </m:r>
              <m:r>
                <m:rPr>
                  <m:sty m:val="p"/>
                </m:rPr>
                <m:t>(</m:t>
              </m:r>
              <m:sSub>
                <m:e>
                  <m:r>
                    <m:t>θ</m:t>
                  </m:r>
                </m:e>
                <m:sub>
                  <m:r>
                    <m:t>w</m:t>
                  </m:r>
                </m:sub>
              </m:sSub>
              <m:sSup>
                <m:e>
                  <m:r>
                    <m:rPr>
                      <m:sty m:val="p"/>
                    </m:rPr>
                    <m:t>)</m:t>
                  </m:r>
                </m:e>
                <m:sup>
                  <m:r>
                    <m:t>1</m:t>
                  </m:r>
                  <m:r>
                    <m:rPr>
                      <m:sty m:val="p"/>
                    </m:rPr>
                    <m:t>/</m:t>
                  </m:r>
                  <m:r>
                    <m:t>b</m:t>
                  </m:r>
                </m:sup>
              </m:sSup>
            </m:e>
          </m:d>
          <m:r>
            <m:rPr>
              <m:sty m:val="p"/>
            </m:rPr>
            <m:t>.</m:t>
          </m:r>
        </m:oMath>
      </m:oMathPara>
    </w:p>
    <w:p>
      <w:pPr>
        <w:pStyle w:val="FirstParagraph"/>
        <w:spacing w:line="480" w:lineRule="auto"/>
      </w:pPr>
      <w:r>
        <w:rPr>
          <w:rFonts w:ascii="Times New Roman" w:hAnsi="Times New Roman" w:cs="Times New Roman"/>
          <w:color w:val="000000"/>
          <w:sz w:val="24"/>
        </w:rPr>
        <w:t xml:space="preserve">The corresponding fatigue life is</w:t>
      </w:r>
      <w:r>
        <w:rPr>
          <w:rFonts w:ascii="Times New Roman" w:hAnsi="Times New Roman" w:cs="Times New Roman"/>
          <w:color w:val="000000"/>
          <w:sz w:val="24"/>
        </w:rPr>
        <w:t xml:space="preserve"> </w:t>
      </w:r>
      <m:oMath>
        <m:sSub>
          <m:e>
            <m:r>
              <m:t>T</m:t>
            </m:r>
          </m:e>
          <m:sub>
            <m:r>
              <m:rPr>
                <m:nor/>
                <m:sty m:val="p"/>
              </m:rPr>
              <m:t>eff</m:t>
            </m:r>
          </m:sub>
        </m:sSub>
        <m:r>
          <m:rPr>
            <m:sty m:val="p"/>
          </m:rPr>
          <m:t>=</m:t>
        </m:r>
        <m:sSub>
          <m:e>
            <m:r>
              <m:t>T</m:t>
            </m:r>
          </m:e>
          <m:sub>
            <m:r>
              <m:rPr>
                <m:nor/>
                <m:sty m:val="p"/>
              </m:rPr>
              <m:t>baseline</m:t>
            </m:r>
          </m:sub>
        </m:sSub>
        <m:r>
          <m:rPr>
            <m:sty m:val="p"/>
          </m:rPr>
          <m:t>/</m:t>
        </m:r>
        <m:sSub>
          <m:e>
            <m:r>
              <m:t>D</m:t>
            </m:r>
          </m:e>
          <m:sub>
            <m:r>
              <m:rPr>
                <m:nor/>
                <m:sty m:val="p"/>
              </m:rPr>
              <m:t>factor</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with</w:t>
      </w:r>
      <w:r>
        <w:rPr>
          <w:rFonts w:ascii="Times New Roman" w:hAnsi="Times New Roman" w:cs="Times New Roman"/>
          <w:color w:val="000000"/>
          <w:sz w:val="24"/>
        </w:rPr>
        <w:t xml:space="preserve"> </w:t>
      </w:r>
      <m:oMath>
        <m:sSub>
          <m:e>
            <m:r>
              <m:t>D</m:t>
            </m:r>
          </m:e>
          <m:sub>
            <m:r>
              <m:rPr>
                <m:nor/>
                <m:sty m:val="p"/>
              </m:rPr>
              <m:t>factor</m:t>
            </m:r>
          </m:sub>
        </m:sSub>
        <m:r>
          <m:rPr>
            <m:sty m:val="p"/>
          </m:rPr>
          <m:t>=</m:t>
        </m:r>
        <m:sSub>
          <m:e>
            <m:r>
              <m:rPr>
                <m:scr m:val="double-struck"/>
                <m:sty m:val="p"/>
              </m:rPr>
              <m:t>E</m:t>
            </m:r>
          </m:e>
          <m:sub>
            <m:sSub>
              <m:e>
                <m:r>
                  <m:t>θ</m:t>
                </m:r>
              </m:e>
              <m:sub>
                <m:r>
                  <m:t>w</m:t>
                </m:r>
              </m:sub>
            </m:sSub>
          </m:sub>
        </m:sSub>
        <m:r>
          <m:rPr>
            <m:sty m:val="p"/>
          </m:rPr>
          <m:t>[</m:t>
        </m:r>
        <m:sSup>
          <m:e>
            <m:r>
              <m:rPr>
                <m:nor/>
                <m:sty m:val="p"/>
              </m:rPr>
              <m:t>SAF</m:t>
            </m:r>
          </m:e>
          <m:sup>
            <m:r>
              <m:t>1</m:t>
            </m:r>
            <m:r>
              <m:rPr>
                <m:sty m:val="p"/>
              </m:rPr>
              <m:t>/</m:t>
            </m:r>
            <m:r>
              <m:t>b</m:t>
            </m:r>
          </m:sup>
        </m:sSup>
        <m:r>
          <m:rPr>
            <m:sty m:val="p"/>
          </m:rPr>
          <m:t>]</m:t>
        </m:r>
      </m:oMath>
      <w:r>
        <w:rPr>
          <w:rFonts w:ascii="Times New Roman" w:hAnsi="Times New Roman" w:cs="Times New Roman"/>
          <w:color w:val="000000"/>
          <w:sz w:val="24"/>
        </w:rPr>
        <w:t xml:space="preserve">. We report results as the</w:t>
      </w:r>
      <w:r>
        <w:rPr>
          <w:rFonts w:ascii="Times New Roman" w:hAnsi="Times New Roman" w:cs="Times New Roman"/>
          <w:color w:val="000000"/>
          <w:sz w:val="24"/>
        </w:rPr>
        <w:t xml:space="preserve"> </w:t>
      </w:r>
      <w:r>
        <w:rPr>
          <w:rFonts w:ascii="Times New Roman" w:hAnsi="Times New Roman" w:cs="Times New Roman"/>
          <w:b/>
          <w:bCs/>
          <w:color w:val="000000"/>
          <w:sz w:val="24"/>
        </w:rPr>
        <w:t xml:space="preserve">life ratio</w:t>
      </w:r>
    </w:p>
    <w:p>
      <w:pPr>
        <w:pStyle w:val="BodyText"/>
        <w:spacing w:line="480" w:lineRule="auto"/>
      </w:pPr>
      <m:oMathPara>
        <m:oMathParaPr>
          <m:jc m:val="center"/>
        </m:oMathParaPr>
        <m:oMath>
          <m:r>
            <m:t>ρ</m:t>
          </m:r>
          <m:r>
            <m:t> </m:t>
          </m:r>
          <m:r>
            <m:rPr>
              <m:sty m:val="p"/>
            </m:rPr>
            <m:t>=</m:t>
          </m:r>
          <m:r>
            <m:t> </m:t>
          </m:r>
          <m:f>
            <m:fPr>
              <m:type m:val="bar"/>
            </m:fPr>
            <m:num>
              <m:sSub>
                <m:e>
                  <m:r>
                    <m:t>T</m:t>
                  </m:r>
                </m:e>
                <m:sub>
                  <m:r>
                    <m:rPr>
                      <m:nor/>
                      <m:sty m:val="p"/>
                    </m:rPr>
                    <m:t>ecc</m:t>
                  </m:r>
                </m:sub>
              </m:sSub>
            </m:num>
            <m:den>
              <m:sSub>
                <m:e>
                  <m:r>
                    <m:t>T</m:t>
                  </m:r>
                </m:e>
                <m:sub>
                  <m:r>
                    <m:rPr>
                      <m:nor/>
                      <m:sty m:val="p"/>
                    </m:rPr>
                    <m:t>conc</m:t>
                  </m:r>
                </m:sub>
              </m:sSub>
            </m:den>
          </m:f>
          <m:r>
            <m:t> </m:t>
          </m:r>
          <m:r>
            <m:rPr>
              <m:sty m:val="p"/>
            </m:rPr>
            <m:t>=</m:t>
          </m:r>
          <m:r>
            <m:t> </m:t>
          </m:r>
          <m:f>
            <m:fPr>
              <m:type m:val="bar"/>
            </m:fPr>
            <m:num>
              <m:sSubSup>
                <m:e>
                  <m:r>
                    <m:rPr>
                      <m:nor/>
                      <m:sty m:val="p"/>
                    </m:rPr>
                    <m:t>SAF</m:t>
                  </m:r>
                </m:e>
                <m:sub>
                  <m:r>
                    <m:rPr>
                      <m:nor/>
                      <m:sty m:val="p"/>
                    </m:rPr>
                    <m:t>conc</m:t>
                  </m:r>
                </m:sub>
                <m:sup>
                  <m:r>
                    <m:t>1</m:t>
                  </m:r>
                  <m:r>
                    <m:rPr>
                      <m:sty m:val="p"/>
                    </m:rPr>
                    <m:t>/</m:t>
                  </m:r>
                  <m:r>
                    <m:t>b</m:t>
                  </m:r>
                </m:sup>
              </m:sSubSup>
            </m:num>
            <m:den>
              <m:sSub>
                <m:e>
                  <m:r>
                    <m:rPr>
                      <m:scr m:val="double-struck"/>
                      <m:sty m:val="p"/>
                    </m:rPr>
                    <m:t>E</m:t>
                  </m:r>
                </m:e>
                <m:sub>
                  <m:sSub>
                    <m:e>
                      <m:r>
                        <m:t>θ</m:t>
                      </m:r>
                    </m:e>
                    <m:sub>
                      <m:r>
                        <m:t>w</m:t>
                      </m:r>
                    </m:sub>
                  </m:sSub>
                </m:sub>
              </m:sSub>
              <m:r>
                <m:t>​</m:t>
              </m:r>
              <m:d>
                <m:dPr>
                  <m:begChr m:val="["/>
                  <m:sepChr m:val=""/>
                  <m:endChr m:val="]"/>
                  <m:grow/>
                </m:dPr>
                <m:e>
                  <m:r>
                    <m:rPr>
                      <m:nor/>
                      <m:sty m:val="p"/>
                    </m:rPr>
                    <m:t>SAF</m:t>
                  </m:r>
                  <m:r>
                    <m:rPr>
                      <m:sty m:val="p"/>
                    </m:rPr>
                    <m:t>(</m:t>
                  </m:r>
                  <m:sSub>
                    <m:e>
                      <m:r>
                        <m:t>θ</m:t>
                      </m:r>
                    </m:e>
                    <m:sub>
                      <m:r>
                        <m:t>w</m:t>
                      </m:r>
                    </m:sub>
                  </m:sSub>
                  <m:sSup>
                    <m:e>
                      <m:r>
                        <m:rPr>
                          <m:sty m:val="p"/>
                        </m:rPr>
                        <m:t>)</m:t>
                      </m:r>
                    </m:e>
                    <m:sup>
                      <m:r>
                        <m:t>1</m:t>
                      </m:r>
                      <m:r>
                        <m:rPr>
                          <m:sty m:val="p"/>
                        </m:rPr>
                        <m:t>/</m:t>
                      </m:r>
                      <m:r>
                        <m:t>b</m:t>
                      </m:r>
                    </m:sup>
                  </m:sSup>
                </m:e>
              </m:d>
            </m:den>
          </m:f>
          <m:r>
            <m:rPr>
              <m:sty m:val="p"/>
            </m:rPr>
            <m:t>,</m:t>
          </m:r>
        </m:oMath>
      </m:oMathPara>
    </w:p>
    <w:p>
      <w:pPr>
        <w:pStyle w:val="FirstParagraph"/>
        <w:spacing w:line="480" w:lineRule="auto"/>
      </w:pPr>
      <w:r>
        <w:rPr>
          <w:rFonts w:ascii="Times New Roman" w:hAnsi="Times New Roman" w:cs="Times New Roman"/>
          <w:color w:val="000000"/>
          <w:sz w:val="24"/>
        </w:rPr>
        <w:t xml:space="preserve">a quantity that is exactly invariant to the absolute baseline</w:t>
      </w:r>
      <w:r>
        <w:rPr>
          <w:rFonts w:ascii="Times New Roman" w:hAnsi="Times New Roman" w:cs="Times New Roman"/>
          <w:color w:val="000000"/>
          <w:sz w:val="24"/>
        </w:rPr>
        <w:t xml:space="preserve"> </w:t>
      </w:r>
      <m:oMath>
        <m:sSub>
          <m:e>
            <m:r>
              <m:t>T</m:t>
            </m:r>
          </m:e>
          <m:sub>
            <m:r>
              <m:rPr>
                <m:nor/>
                <m:sty m:val="p"/>
              </m:rPr>
              <m:t>baseline</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that can therefore be cross-multiplied with any calibrated concentric estimate (Section 2.5). For the lower-bound and mean S-N curves of Paper I we used</w:t>
      </w:r>
      <w:r>
        <w:rPr>
          <w:rFonts w:ascii="Times New Roman" w:hAnsi="Times New Roman" w:cs="Times New Roman"/>
          <w:color w:val="000000"/>
          <w:sz w:val="24"/>
        </w:rPr>
        <w:t xml:space="preserve"> </w:t>
      </w:r>
      <m:oMath>
        <m:r>
          <m:t>b</m:t>
        </m:r>
        <m:r>
          <m:rPr>
            <m:sty m:val="p"/>
          </m:rPr>
          <m:t>=</m:t>
        </m:r>
        <m:r>
          <m:t>0.125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w:t>
      </w:r>
      <w:r>
        <w:rPr>
          <w:rFonts w:ascii="Times New Roman" w:hAnsi="Times New Roman" w:cs="Times New Roman"/>
          <w:color w:val="000000"/>
          <w:sz w:val="24"/>
        </w:rPr>
        <w:t xml:space="preserve"> </w:t>
      </w:r>
      <m:oMath>
        <m:r>
          <m:t>b</m:t>
        </m:r>
        <m:r>
          <m:rPr>
            <m:sty m:val="p"/>
          </m:rPr>
          <m:t>=</m:t>
        </m:r>
        <m:r>
          <m:t>0.10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respectively.</w:t>
      </w:r>
    </w:p>
    <w:bookmarkEnd w:id="18"/>
    <w:bookmarkStart w:id="19" w:name="anchoring-to-paper-i-absolute-lives"/>
    <w:p>
      <w:pPr>
        <w:pStyle w:val="Heading3"/>
        <w:spacing w:line="480" w:lineRule="auto"/>
      </w:pPr>
      <w:r>
        <w:rPr>
          <w:rFonts w:ascii="Times New Roman" w:hAnsi="Times New Roman" w:cs="Times New Roman"/>
          <w:b/>
          <w:color w:val="000000"/>
          <w:sz w:val="24"/>
        </w:rPr>
        <w:t xml:space="preserve">2.5 Anchoring to Paper I absolute lives</w:t>
      </w:r>
    </w:p>
    <w:p>
      <w:pPr>
        <w:pStyle w:val="FirstParagraph"/>
        <w:spacing w:line="480" w:lineRule="auto"/>
      </w:pPr>
      <w:r>
        <w:rPr>
          <w:rFonts w:ascii="Times New Roman" w:hAnsi="Times New Roman" w:cs="Times New Roman"/>
          <w:color w:val="000000"/>
          <w:sz w:val="24"/>
        </w:rPr>
        <w:t xml:space="preserve">To convert the dimensionless life ratio</w:t>
      </w:r>
      <w:r>
        <w:rPr>
          <w:rFonts w:ascii="Times New Roman" w:hAnsi="Times New Roman" w:cs="Times New Roman"/>
          <w:color w:val="000000"/>
          <w:sz w:val="24"/>
        </w:rPr>
        <w:t xml:space="preserve"> </w:t>
      </w:r>
      <m:oMath>
        <m:r>
          <m:t>ρ</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to absolute years we multiplied by the calibrated concentric fatigue lives reported in Paper I Table 2 (Seoul,</w:t>
      </w:r>
      <w:r>
        <w:rPr>
          <w:rFonts w:ascii="Times New Roman" w:hAnsi="Times New Roman" w:cs="Times New Roman"/>
          <w:color w:val="000000"/>
          <w:sz w:val="24"/>
        </w:rPr>
        <w:t xml:space="preserve"> </w:t>
      </w:r>
      <m:oMath>
        <m:r>
          <m:t>H</m:t>
        </m:r>
        <m:r>
          <m:rPr>
            <m:sty m:val="p"/>
          </m:rPr>
          <m:t>=</m:t>
        </m:r>
        <m:r>
          <m:t>8</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m, DBH</w:t>
      </w:r>
      <w:r>
        <w:rPr>
          <w:rFonts w:ascii="Times New Roman" w:hAnsi="Times New Roman" w:cs="Times New Roman"/>
          <w:color w:val="000000"/>
          <w:sz w:val="24"/>
        </w:rPr>
        <w:t xml:space="preserve"> </w:t>
      </w:r>
      <m:oMath>
        <m:r>
          <m:rPr>
            <m:sty m:val="p"/>
          </m:rPr>
          <m:t>=</m:t>
        </m:r>
        <m:r>
          <m:t>20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cm, ginkgo). The transformation</w:t>
      </w:r>
      <w:r>
        <w:rPr>
          <w:rFonts w:ascii="Times New Roman" w:hAnsi="Times New Roman" w:cs="Times New Roman"/>
          <w:color w:val="000000"/>
          <w:sz w:val="24"/>
        </w:rPr>
        <w:t xml:space="preserve"> </w:t>
      </w:r>
      <m:oMath>
        <m:sSubSup>
          <m:e>
            <m:r>
              <m:t>T</m:t>
            </m:r>
          </m:e>
          <m:sub>
            <m:r>
              <m:rPr>
                <m:nor/>
                <m:sty m:val="p"/>
              </m:rPr>
              <m:t>ecc</m:t>
            </m:r>
          </m:sub>
          <m:sup>
            <m:r>
              <m:rPr>
                <m:sty m:val="p"/>
              </m:rPr>
              <m:t>(</m:t>
            </m:r>
            <m:r>
              <m:t>i</m:t>
            </m:r>
            <m:r>
              <m:rPr>
                <m:sty m:val="p"/>
              </m:rPr>
              <m:t>)</m:t>
            </m:r>
          </m:sup>
        </m:sSubSup>
        <m:r>
          <m:rPr>
            <m:sty m:val="p"/>
          </m:rPr>
          <m:t>=</m:t>
        </m:r>
        <m:sSub>
          <m:e>
            <m:r>
              <m:t>T</m:t>
            </m:r>
          </m:e>
          <m:sub>
            <m:r>
              <m:rPr>
                <m:nor/>
                <m:sty m:val="p"/>
              </m:rPr>
              <m:t>conc, paper I</m:t>
            </m:r>
          </m:sub>
        </m:sSub>
        <m:r>
          <m:rPr>
            <m:sty m:val="p"/>
          </m:rPr>
          <m:t>⋅</m:t>
        </m:r>
        <m:sSup>
          <m:e>
            <m:r>
              <m:t>ρ</m:t>
            </m:r>
          </m:e>
          <m:sup>
            <m:r>
              <m:rPr>
                <m:sty m:val="p"/>
              </m:rPr>
              <m:t>(</m:t>
            </m:r>
            <m:r>
              <m:t>i</m:t>
            </m:r>
            <m:r>
              <m:rPr>
                <m:sty m:val="p"/>
              </m:rPr>
              <m:t>)</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exact under multiplicative stress scaling. For Incheon and Jeju the same transformation was applied with regional life multipliers derived from Paper I’s</w:t>
      </w:r>
      <w:r>
        <w:rPr>
          <w:rFonts w:ascii="Times New Roman" w:hAnsi="Times New Roman" w:cs="Times New Roman"/>
          <w:color w:val="000000"/>
          <w:sz w:val="24"/>
        </w:rPr>
        <w:t xml:space="preserve"> </w:t>
      </w:r>
      <w:r>
        <w:rPr>
          <w:rStyle w:val="VerbatimChar"/>
          <w:rFonts w:ascii="Times New Roman" w:hAnsi="Times New Roman" w:cs="Times New Roman"/>
          <w:color w:val="000000"/>
          <w:sz w:val="24"/>
        </w:rPr>
        <w:t xml:space="preserve">weibull_fatigue</w:t>
      </w:r>
      <w:r>
        <w:rPr>
          <w:rFonts w:ascii="Times New Roman" w:hAnsi="Times New Roman" w:cs="Times New Roman"/>
          <w:color w:val="000000"/>
          <w:sz w:val="24"/>
        </w:rPr>
        <w:t xml:space="preserve"> </w:t>
      </w:r>
      <w:r>
        <w:rPr>
          <w:rFonts w:ascii="Times New Roman" w:hAnsi="Times New Roman" w:cs="Times New Roman"/>
          <w:color w:val="000000"/>
          <w:sz w:val="24"/>
        </w:rPr>
        <w:t xml:space="preserve">results; specifically,</w:t>
      </w:r>
      <w:r>
        <w:rPr>
          <w:rFonts w:ascii="Times New Roman" w:hAnsi="Times New Roman" w:cs="Times New Roman"/>
          <w:color w:val="000000"/>
          <w:sz w:val="24"/>
        </w:rPr>
        <w:t xml:space="preserve"> </w:t>
      </w:r>
      <m:oMath>
        <m:sSub>
          <m:e>
            <m:r>
              <m:t>T</m:t>
            </m:r>
          </m:e>
          <m:sub>
            <m:r>
              <m:rPr>
                <m:nor/>
                <m:sty m:val="p"/>
              </m:rPr>
              <m:t>conc, region</m:t>
            </m:r>
          </m:sub>
        </m:sSub>
        <m:r>
          <m:rPr>
            <m:sty m:val="p"/>
          </m:rPr>
          <m:t>/</m:t>
        </m:r>
        <m:sSub>
          <m:e>
            <m:r>
              <m:t>T</m:t>
            </m:r>
          </m:e>
          <m:sub>
            <m:r>
              <m:rPr>
                <m:nor/>
                <m:sty m:val="p"/>
              </m:rPr>
              <m:t>conc, Seoul</m:t>
            </m:r>
          </m:sub>
        </m:sSub>
        <m:r>
          <m:rPr>
            <m:sty m:val="p"/>
          </m:rPr>
          <m:t>=</m:t>
        </m:r>
        <m:sSub>
          <m:e>
            <m:r>
              <m:t>D</m:t>
            </m:r>
          </m:e>
          <m:sub>
            <m:r>
              <m:rPr>
                <m:nor/>
                <m:sty m:val="p"/>
              </m:rPr>
              <m:t>annual, Seoul</m:t>
            </m:r>
          </m:sub>
        </m:sSub>
        <m:r>
          <m:rPr>
            <m:sty m:val="p"/>
          </m:rPr>
          <m:t>/</m:t>
        </m:r>
        <m:sSub>
          <m:e>
            <m:r>
              <m:t>D</m:t>
            </m:r>
          </m:e>
          <m:sub>
            <m:r>
              <m:rPr>
                <m:nor/>
                <m:sty m:val="p"/>
              </m:rPr>
              <m:t>annual, region</m:t>
            </m:r>
          </m:sub>
        </m:sSub>
      </m:oMath>
      <w:r>
        <w:rPr>
          <w:rFonts w:ascii="Times New Roman" w:hAnsi="Times New Roman" w:cs="Times New Roman"/>
          <w:color w:val="000000"/>
          <w:sz w:val="24"/>
        </w:rPr>
        <w:t xml:space="preserve">, evaluating to</w:t>
      </w:r>
      <w:r>
        <w:rPr>
          <w:rFonts w:ascii="Times New Roman" w:hAnsi="Times New Roman" w:cs="Times New Roman"/>
          <w:color w:val="000000"/>
          <w:sz w:val="24"/>
        </w:rPr>
        <w:t xml:space="preserve"> </w:t>
      </w:r>
      <m:oMath>
        <m:r>
          <m:t>0.426</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for Incheon and</w:t>
      </w:r>
      <w:r>
        <w:rPr>
          <w:rFonts w:ascii="Times New Roman" w:hAnsi="Times New Roman" w:cs="Times New Roman"/>
          <w:color w:val="000000"/>
          <w:sz w:val="24"/>
        </w:rPr>
        <w:t xml:space="preserve"> </w:t>
      </w:r>
      <m:oMath>
        <m:r>
          <m:t>0.303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for Jeju.</w:t>
      </w:r>
    </w:p>
    <w:bookmarkEnd w:id="19"/>
    <w:bookmarkStart w:id="20" w:name="Xfc505d7c655d507a03a1b771d22caa3c9b022d0"/>
    <w:p>
      <w:pPr>
        <w:pStyle w:val="Heading3"/>
        <w:spacing w:line="480" w:lineRule="auto"/>
      </w:pPr>
      <w:r>
        <w:rPr>
          <w:rFonts w:ascii="Times New Roman" w:hAnsi="Times New Roman" w:cs="Times New Roman"/>
          <w:b/>
          <w:color w:val="000000"/>
          <w:sz w:val="24"/>
        </w:rPr>
        <w:t xml:space="preserve">2.6 Software, reproducibility, regression testing</w:t>
      </w:r>
    </w:p>
    <w:p>
      <w:pPr>
        <w:pStyle w:val="FirstParagraph"/>
        <w:spacing w:line="480" w:lineRule="auto"/>
      </w:pPr>
      <w:r>
        <w:rPr>
          <w:rFonts w:ascii="Times New Roman" w:hAnsi="Times New Roman" w:cs="Times New Roman"/>
          <w:color w:val="000000"/>
          <w:sz w:val="24"/>
        </w:rPr>
        <w:t xml:space="preserve">All computations are pure-Python with NumPy and SciPy. The seed is fixed at 42 (Python random) and 42 + integer offsets per Monte Carlo cell to enforce determinism. A four-stage regression test (</w:t>
      </w:r>
      <w:r>
        <w:rPr>
          <w:rStyle w:val="VerbatimChar"/>
          <w:rFonts w:ascii="Times New Roman" w:hAnsi="Times New Roman" w:cs="Times New Roman"/>
          <w:color w:val="000000"/>
          <w:sz w:val="24"/>
        </w:rPr>
        <w:t xml:space="preserve">scripts/00_regression_test_concentric.py</w:t>
      </w:r>
      <w:r>
        <w:rPr>
          <w:rFonts w:ascii="Times New Roman" w:hAnsi="Times New Roman" w:cs="Times New Roman"/>
          <w:color w:val="000000"/>
          <w:sz w:val="24"/>
        </w:rPr>
        <w:t xml:space="preserve">) is run before every analytical change: (i) the concentric limit reproduces the Mattheck SAF for seven decay levels, (ii) directional invariance of SAF under concentric cavities, (iii) continuity of</w:t>
      </w:r>
      <w:r>
        <w:rPr>
          <w:rFonts w:ascii="Times New Roman" w:hAnsi="Times New Roman" w:cs="Times New Roman"/>
          <w:color w:val="000000"/>
          <w:sz w:val="24"/>
        </w:rPr>
        <w:t xml:space="preserve"> </w:t>
      </w:r>
      <m:oMath>
        <m:sSub>
          <m:e>
            <m:r>
              <m:rPr>
                <m:nor/>
                <m:sty m:val="p"/>
              </m:rPr>
              <m:t>SAF</m:t>
            </m:r>
          </m:e>
          <m:sub>
            <m:r>
              <m:rPr>
                <m:nor/>
                <m:sty m:val="p"/>
              </m:rPr>
              <m:t>worst</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as</w:t>
      </w:r>
      <w:r>
        <w:rPr>
          <w:rFonts w:ascii="Times New Roman" w:hAnsi="Times New Roman" w:cs="Times New Roman"/>
          <w:color w:val="000000"/>
          <w:sz w:val="24"/>
        </w:rPr>
        <w:t xml:space="preserve"> </w:t>
      </w:r>
      <m:oMath>
        <m:sSub>
          <m:e>
            <m:r>
              <m:t>e</m:t>
            </m:r>
          </m:e>
          <m:sub>
            <m:r>
              <m:rPr>
                <m:nor/>
                <m:sty m:val="p"/>
              </m:rPr>
              <m:t>norm</m:t>
            </m:r>
          </m:sub>
        </m:sSub>
        <m:r>
          <m:rPr>
            <m:sty m:val="p"/>
          </m:rPr>
          <m:t>→</m:t>
        </m:r>
        <m:r>
          <m:t>0</m:t>
        </m:r>
      </m:oMath>
      <w:r>
        <w:rPr>
          <w:rFonts w:ascii="Times New Roman" w:hAnsi="Times New Roman" w:cs="Times New Roman"/>
          <w:color w:val="000000"/>
          <w:sz w:val="24"/>
        </w:rPr>
        <w:t xml:space="preserve">, and (iv) closed-form section properties match a 2000-point Cartesian grid integration to better than 0.5 % for moderately eccentric and severely eccentric cavities. All four tests pass at the time of writing (Figure 1). An additional independent validation against a commercial finite-element code (ABAQUS Standard 2026, plane-stress CPS4R elements, ~ 15 000 elements per case) was performed for six representative cross-sections and is reported in Appendix A. The full code base, including the regression-test suite, ABAQUS validation input files, and all Monte Carlo seeds, is archived at</w:t>
      </w:r>
      <w:r>
        <w:rPr>
          <w:rFonts w:ascii="Times New Roman" w:hAnsi="Times New Roman" w:cs="Times New Roman"/>
          <w:color w:val="000000"/>
          <w:sz w:val="24"/>
        </w:rPr>
        <w:t xml:space="preserve"> </w:t>
      </w:r>
      <w:r>
        <w:rPr>
          <w:rStyle w:val="VerbatimChar"/>
          <w:rFonts w:ascii="Times New Roman" w:hAnsi="Times New Roman" w:cs="Times New Roman"/>
          <w:color w:val="000000"/>
          <w:sz w:val="24"/>
        </w:rPr>
        <w:t xml:space="preserve">https://github.com/&lt;author&gt;/fatigue-tree2</w:t>
      </w:r>
      <w:r>
        <w:rPr>
          <w:rFonts w:ascii="Times New Roman" w:hAnsi="Times New Roman" w:cs="Times New Roman"/>
          <w:color w:val="000000"/>
          <w:sz w:val="24"/>
        </w:rPr>
        <w:t xml:space="preserve"> </w:t>
      </w:r>
      <w:r>
        <w:rPr>
          <w:rFonts w:ascii="Times New Roman" w:hAnsi="Times New Roman" w:cs="Times New Roman"/>
          <w:color w:val="000000"/>
          <w:sz w:val="24"/>
        </w:rPr>
        <w:t xml:space="preserve">and will be tagged at submission.</w:t>
      </w:r>
    </w:p>
    <w:p>
      <w:pPr>
        <w:spacing w:line="480" w:lineRule="auto"/>
      </w:pPr>
      <w:r>
        <w:rPr>
          <w:rFonts w:ascii="Times New Roman" w:hAnsi="Times New Roman" w:cs="Times New Roman"/>
          <w:color w:val="000000"/>
          <w:sz w:val="24"/>
        </w:rPr>
        <w:pict>
          <v:rect style="width:0;height:1.5pt" o:hralign="center" o:hrstd="t" o:hr="t"/>
        </w:pict>
      </w:r>
    </w:p>
    <w:bookmarkEnd w:id="20"/>
    <w:bookmarkEnd w:id="21"/>
    <w:bookmarkStart w:id="29" w:name="results"/>
    <w:p>
      <w:pPr>
        <w:pStyle w:val="Heading2"/>
        <w:spacing w:line="480" w:lineRule="auto"/>
      </w:pPr>
      <w:r>
        <w:rPr>
          <w:rFonts w:ascii="Times New Roman" w:hAnsi="Times New Roman" w:cs="Times New Roman"/>
          <w:b/>
          <w:color w:val="000000"/>
          <w:sz w:val="24"/>
        </w:rPr>
        <w:t xml:space="preserve">3. Results</w:t>
      </w:r>
    </w:p>
    <w:bookmarkStart w:id="22" w:name="concentric-limit-verification"/>
    <w:p>
      <w:pPr>
        <w:pStyle w:val="Heading3"/>
        <w:spacing w:line="480" w:lineRule="auto"/>
      </w:pPr>
      <w:r>
        <w:rPr>
          <w:rFonts w:ascii="Times New Roman" w:hAnsi="Times New Roman" w:cs="Times New Roman"/>
          <w:b/>
          <w:color w:val="000000"/>
          <w:sz w:val="24"/>
        </w:rPr>
        <w:t xml:space="preserve">3.1 Concentric-limit verification</w:t>
      </w:r>
    </w:p>
    <w:p>
      <w:pPr>
        <w:pStyle w:val="FirstParagraph"/>
        <w:spacing w:line="480" w:lineRule="auto"/>
      </w:pPr>
      <w:r>
        <w:rPr>
          <w:rFonts w:ascii="Times New Roman" w:hAnsi="Times New Roman" w:cs="Times New Roman"/>
          <w:color w:val="000000"/>
          <w:sz w:val="24"/>
        </w:rPr>
        <w:t xml:space="preserve">Across decay ratios</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rPr>
            <m:sty m:val="p"/>
          </m:rPr>
          <m:t>{</m:t>
        </m:r>
        <m:r>
          <m:t>0.0</m:t>
        </m:r>
        <m:r>
          <m:rPr>
            <m:sty m:val="p"/>
          </m:rPr>
          <m:t>,</m:t>
        </m:r>
        <m:r>
          <m:t>0.1</m:t>
        </m:r>
        <m:r>
          <m:rPr>
            <m:sty m:val="p"/>
          </m:rPr>
          <m:t>,</m:t>
        </m:r>
        <m:r>
          <m:t>0.3</m:t>
        </m:r>
        <m:r>
          <m:rPr>
            <m:sty m:val="p"/>
          </m:rPr>
          <m:t>,</m:t>
        </m:r>
        <m:r>
          <m:t>0.5</m:t>
        </m:r>
        <m:r>
          <m:rPr>
            <m:sty m:val="p"/>
          </m:rPr>
          <m:t>,</m:t>
        </m:r>
        <m:r>
          <m:t>0.7</m:t>
        </m:r>
        <m:r>
          <m:rPr>
            <m:sty m:val="p"/>
          </m:rPr>
          <m:t>,</m:t>
        </m:r>
        <m:r>
          <m:t>0.8</m:t>
        </m:r>
        <m:r>
          <m:rPr>
            <m:sty m:val="p"/>
          </m:rPr>
          <m:t>,</m:t>
        </m:r>
        <m:r>
          <m:t>0.9</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the closed-form SAF reproduced the Mattheck (1994) formula to machine precision: the maximum relative error was</w:t>
      </w:r>
      <w:r>
        <w:rPr>
          <w:rFonts w:ascii="Times New Roman" w:hAnsi="Times New Roman" w:cs="Times New Roman"/>
          <w:color w:val="000000"/>
          <w:sz w:val="24"/>
        </w:rPr>
        <w:t xml:space="preserve"> </w:t>
      </w:r>
      <m:oMath>
        <m:r>
          <m:t>2.22</m:t>
        </m:r>
        <m:r>
          <m:rPr>
            <m:sty m:val="p"/>
          </m:rPr>
          <m:t>×</m:t>
        </m:r>
        <m:sSup>
          <m:e>
            <m:r>
              <m:t>10</m:t>
            </m:r>
          </m:e>
          <m:sup>
            <m:r>
              <m:rPr>
                <m:sty m:val="p"/>
              </m:rPr>
              <m:t>−</m:t>
            </m:r>
            <m:r>
              <m:t>16</m:t>
            </m:r>
          </m:sup>
        </m:sSup>
      </m:oMath>
      <w:r>
        <w:rPr>
          <w:rFonts w:ascii="Times New Roman" w:hAnsi="Times New Roman" w:cs="Times New Roman"/>
          <w:color w:val="000000"/>
          <w:sz w:val="24"/>
        </w:rPr>
        <w:t xml:space="preserve">, occurring at the upper end of the range (Figure 1a). Concentric directional invariance (Section 2.2 remark) was confirmed to a relative spread of</w:t>
      </w:r>
      <w:r>
        <w:rPr>
          <w:rFonts w:ascii="Times New Roman" w:hAnsi="Times New Roman" w:cs="Times New Roman"/>
          <w:color w:val="000000"/>
          <w:sz w:val="24"/>
        </w:rPr>
        <w:t xml:space="preserve"> </w:t>
      </w:r>
      <m:oMath>
        <m:r>
          <m:t>4.40</m:t>
        </m:r>
        <m:r>
          <m:rPr>
            <m:sty m:val="p"/>
          </m:rPr>
          <m:t>×</m:t>
        </m:r>
        <m:sSup>
          <m:e>
            <m:r>
              <m:t>10</m:t>
            </m:r>
          </m:e>
          <m:sup>
            <m:r>
              <m:rPr>
                <m:sty m:val="p"/>
              </m:rPr>
              <m:t>−</m:t>
            </m:r>
            <m:r>
              <m:t>16</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across 720 wind directions for three test ratios (Figure 1b). The eccentric-to-concentric continuity test (Figure 1c) showed monotonic convergence of</w:t>
      </w:r>
      <w:r>
        <w:rPr>
          <w:rFonts w:ascii="Times New Roman" w:hAnsi="Times New Roman" w:cs="Times New Roman"/>
          <w:color w:val="000000"/>
          <w:sz w:val="24"/>
        </w:rPr>
        <w:t xml:space="preserve"> </w:t>
      </w:r>
      <m:oMath>
        <m:sSub>
          <m:e>
            <m:r>
              <m:rPr>
                <m:nor/>
                <m:sty m:val="p"/>
              </m:rPr>
              <m:t>SAF</m:t>
            </m:r>
          </m:e>
          <m:sub>
            <m:r>
              <m:rPr>
                <m:nor/>
                <m:sty m:val="p"/>
              </m:rPr>
              <m:t>worst</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to the Mattheck value as</w:t>
      </w:r>
      <w:r>
        <w:rPr>
          <w:rFonts w:ascii="Times New Roman" w:hAnsi="Times New Roman" w:cs="Times New Roman"/>
          <w:color w:val="000000"/>
          <w:sz w:val="24"/>
        </w:rPr>
        <w:t xml:space="preserve"> </w:t>
      </w:r>
      <m:oMath>
        <m:sSub>
          <m:e>
            <m:r>
              <m:t>e</m:t>
            </m:r>
          </m:e>
          <m:sub>
            <m:r>
              <m:rPr>
                <m:nor/>
                <m:sty m:val="p"/>
              </m:rPr>
              <m:t>norm</m:t>
            </m:r>
          </m:sub>
        </m:sSub>
        <m:r>
          <m:rPr>
            <m:sty m:val="p"/>
          </m:rPr>
          <m:t>→</m:t>
        </m:r>
        <m:r>
          <m:t>0</m:t>
        </m:r>
      </m:oMath>
      <w:r>
        <w:rPr>
          <w:rFonts w:ascii="Times New Roman" w:hAnsi="Times New Roman" w:cs="Times New Roman"/>
          <w:color w:val="000000"/>
          <w:sz w:val="24"/>
        </w:rPr>
        <w:t xml:space="preserve">, with a relative error of</w:t>
      </w:r>
      <w:r>
        <w:rPr>
          <w:rFonts w:ascii="Times New Roman" w:hAnsi="Times New Roman" w:cs="Times New Roman"/>
          <w:color w:val="000000"/>
          <w:sz w:val="24"/>
        </w:rPr>
        <w:t xml:space="preserve"> </w:t>
      </w:r>
      <m:oMath>
        <m:r>
          <m:rPr>
            <m:sty m:val="p"/>
          </m:rPr>
          <m:t>≈</m:t>
        </m:r>
        <m:r>
          <m:t>3</m:t>
        </m:r>
        <m:r>
          <m:rPr>
            <m:sty m:val="p"/>
          </m:rPr>
          <m:t>×</m:t>
        </m:r>
        <m:sSup>
          <m:e>
            <m:r>
              <m:t>10</m:t>
            </m:r>
          </m:e>
          <m:sup>
            <m:r>
              <m:rPr>
                <m:sty m:val="p"/>
              </m:rPr>
              <m:t>−</m:t>
            </m:r>
            <m:r>
              <m:t>8</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at</w:t>
      </w:r>
      <w:r>
        <w:rPr>
          <w:rFonts w:ascii="Times New Roman" w:hAnsi="Times New Roman" w:cs="Times New Roman"/>
          <w:color w:val="000000"/>
          <w:sz w:val="24"/>
        </w:rPr>
        <w:t xml:space="preserve"> </w:t>
      </w:r>
      <m:oMath>
        <m:sSub>
          <m:e>
            <m:r>
              <m:t>e</m:t>
            </m:r>
          </m:e>
          <m:sub>
            <m:r>
              <m:rPr>
                <m:nor/>
                <m:sty m:val="p"/>
              </m:rPr>
              <m:t>norm</m:t>
            </m:r>
          </m:sub>
        </m:sSub>
        <m:r>
          <m:rPr>
            <m:sty m:val="p"/>
          </m:rPr>
          <m:t>=</m:t>
        </m:r>
        <m:sSup>
          <m:e>
            <m:r>
              <m:t>10</m:t>
            </m:r>
          </m:e>
          <m:sup>
            <m:r>
              <m:rPr>
                <m:sty m:val="p"/>
              </m:rPr>
              <m:t>−</m:t>
            </m:r>
            <m:r>
              <m:t>7</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for</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Numerical grid integration on a</w:t>
      </w:r>
      <w:r>
        <w:rPr>
          <w:rFonts w:ascii="Times New Roman" w:hAnsi="Times New Roman" w:cs="Times New Roman"/>
          <w:color w:val="000000"/>
          <w:sz w:val="24"/>
        </w:rPr>
        <w:t xml:space="preserve"> </w:t>
      </w:r>
      <m:oMath>
        <m:r>
          <m:t>1500</m:t>
        </m:r>
        <m:r>
          <m:rPr>
            <m:sty m:val="p"/>
          </m:rPr>
          <m:t>×</m:t>
        </m:r>
        <m:r>
          <m:t>1500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Cartesian mesh agreed with the analytical section properties to within</w:t>
      </w:r>
      <w:r>
        <w:rPr>
          <w:rFonts w:ascii="Times New Roman" w:hAnsi="Times New Roman" w:cs="Times New Roman"/>
          <w:color w:val="000000"/>
          <w:sz w:val="24"/>
        </w:rPr>
        <w:t xml:space="preserve"> </w:t>
      </w:r>
      <m:oMath>
        <m:r>
          <m:t>2.85</m:t>
        </m:r>
        <m:r>
          <m:rPr>
            <m:sty m:val="p"/>
          </m:rPr>
          <m:t>×</m:t>
        </m:r>
        <m:sSup>
          <m:e>
            <m:r>
              <m:t>10</m:t>
            </m:r>
          </m:e>
          <m:sup>
            <m:r>
              <m:rPr>
                <m:sty m:val="p"/>
              </m:rPr>
              <m:t>−</m:t>
            </m:r>
            <m:r>
              <m:t>4</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across all five tested centroid and inertia components for three eccentricity levels (Figure 1d). Together these four tests constitute a hard correctness gate ensuring backwards compatibility with Paper I and the validity of all downstream Monte Carlo results.</w:t>
      </w:r>
    </w:p>
    <w:bookmarkEnd w:id="22"/>
    <w:bookmarkStart w:id="23" w:name="X763f0179072b140cc48f1a72ab2cad60ef04d67"/>
    <w:p>
      <w:pPr>
        <w:pStyle w:val="Heading3"/>
        <w:spacing w:line="480" w:lineRule="auto"/>
      </w:pPr>
      <w:r>
        <w:rPr>
          <w:rFonts w:ascii="Times New Roman" w:hAnsi="Times New Roman" w:cs="Times New Roman"/>
          <w:b/>
          <w:color w:val="000000"/>
          <w:sz w:val="24"/>
        </w:rPr>
        <w:t xml:space="preserve">3.2 Eccentricity-driven stress amplification (single-sample)</w:t>
      </w:r>
    </w:p>
    <w:p>
      <w:pPr>
        <w:pStyle w:val="FirstParagraph"/>
        <w:spacing w:line="480" w:lineRule="auto"/>
      </w:pPr>
      <w:r>
        <w:rPr>
          <w:rFonts w:ascii="Times New Roman" w:hAnsi="Times New Roman" w:cs="Times New Roman"/>
          <w:color w:val="000000"/>
          <w:sz w:val="24"/>
        </w:rPr>
        <w:t xml:space="preserve">Figure 2 illustrates the SAF behaviour for three representative cross-sections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concentric, eccentric circular with</w:t>
      </w:r>
      <w:r>
        <w:rPr>
          <w:rFonts w:ascii="Times New Roman" w:hAnsi="Times New Roman" w:cs="Times New Roman"/>
          <w:color w:val="000000"/>
          <w:sz w:val="24"/>
        </w:rPr>
        <w:t xml:space="preserve"> </w:t>
      </w:r>
      <m:oMath>
        <m:sSub>
          <m:e>
            <m:r>
              <m:t>e</m:t>
            </m:r>
          </m:e>
          <m:sub>
            <m:r>
              <m:rPr>
                <m:nor/>
                <m:sty m:val="p"/>
              </m:rPr>
              <m:t>norm</m:t>
            </m:r>
          </m:sub>
        </m:sSub>
        <m:r>
          <m:rPr>
            <m:sty m:val="p"/>
          </m:rPr>
          <m:t>=</m:t>
        </m:r>
        <m:r>
          <m:t>0.5</m:t>
        </m:r>
      </m:oMath>
      <w:r>
        <w:rPr>
          <w:rFonts w:ascii="Times New Roman" w:hAnsi="Times New Roman" w:cs="Times New Roman"/>
          <w:color w:val="000000"/>
          <w:sz w:val="24"/>
        </w:rPr>
        <w:t xml:space="preserve">, and an area-equivalent elliptical cavity with axis ratio 2:1 and</w:t>
      </w:r>
      <w:r>
        <w:rPr>
          <w:rFonts w:ascii="Times New Roman" w:hAnsi="Times New Roman" w:cs="Times New Roman"/>
          <w:color w:val="000000"/>
          <w:sz w:val="24"/>
        </w:rPr>
        <w:t xml:space="preserve"> </w:t>
      </w:r>
      <m:oMath>
        <m:sSub>
          <m:e>
            <m:r>
              <m:t>e</m:t>
            </m:r>
          </m:e>
          <m:sub>
            <m:r>
              <m:rPr>
                <m:nor/>
                <m:sty m:val="p"/>
              </m:rPr>
              <m:t>norm</m:t>
            </m:r>
          </m:sub>
        </m:sSub>
        <m:r>
          <m:rPr>
            <m:sty m:val="p"/>
          </m:rPr>
          <m:t>=</m:t>
        </m:r>
        <m:r>
          <m:t>0.4</m:t>
        </m:r>
      </m:oMath>
      <w:r>
        <w:rPr>
          <w:rFonts w:ascii="Times New Roman" w:hAnsi="Times New Roman" w:cs="Times New Roman"/>
          <w:color w:val="000000"/>
          <w:sz w:val="24"/>
        </w:rPr>
        <w:t xml:space="preserve">. The polar SAF curve is direction-invariant for the concentric case (a circle on the polar plot) and develops a clear bilobed pattern for eccentric cavities, with the worst direction aligned with the cavity-offset axis. The eccentric and elliptical SAF rise super-linearly with eccentricity (Figure 2c), and the net-section centroid shifts opposite to the cavity offset, intensifying the worst-direction stress at the outer fibre on the cavity side (Figure 2e).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with the cavity tangent to the outer wall (</w:t>
      </w:r>
      <m:oMath>
        <m:sSub>
          <m:e>
            <m:r>
              <m:t>e</m:t>
            </m:r>
          </m:e>
          <m:sub>
            <m:r>
              <m:rPr>
                <m:nor/>
                <m:sty m:val="p"/>
              </m:rPr>
              <m:t>norm</m:t>
            </m:r>
          </m:sub>
        </m:sSub>
        <m:r>
          <m:rPr>
            <m:sty m:val="p"/>
          </m:rPr>
          <m:t>=</m:t>
        </m:r>
        <m:r>
          <m:t>0.95</m:t>
        </m:r>
      </m:oMath>
      <w:r>
        <w:rPr>
          <w:rFonts w:ascii="Times New Roman" w:hAnsi="Times New Roman" w:cs="Times New Roman"/>
          <w:color w:val="000000"/>
          <w:sz w:val="24"/>
        </w:rPr>
        <w:t xml:space="preserve">), the worst-case SAF reaches</w:t>
      </w:r>
      <w:r>
        <w:rPr>
          <w:rFonts w:ascii="Times New Roman" w:hAnsi="Times New Roman" w:cs="Times New Roman"/>
          <w:color w:val="000000"/>
          <w:sz w:val="24"/>
        </w:rPr>
        <w:t xml:space="preserve"> </w:t>
      </w:r>
      <w:r>
        <w:rPr>
          <w:rFonts w:ascii="Times New Roman" w:hAnsi="Times New Roman" w:cs="Times New Roman"/>
          <w:b/>
          <w:bCs/>
          <w:color w:val="000000"/>
          <w:sz w:val="24"/>
        </w:rPr>
        <w:t xml:space="preserve">2.16 ×</w:t>
      </w:r>
      <w:r>
        <w:rPr>
          <w:rFonts w:ascii="Times New Roman" w:hAnsi="Times New Roman" w:cs="Times New Roman"/>
          <w:color w:val="000000"/>
          <w:sz w:val="24"/>
        </w:rPr>
        <w:t xml:space="preserve"> </w:t>
      </w:r>
      <w:r>
        <w:rPr>
          <w:rFonts w:ascii="Times New Roman" w:hAnsi="Times New Roman" w:cs="Times New Roman"/>
          <w:color w:val="000000"/>
          <w:sz w:val="24"/>
        </w:rPr>
        <w:t xml:space="preserve">the Mattheck value — confirming that classical</w:t>
      </w:r>
      <w:r>
        <w:rPr>
          <w:rFonts w:ascii="Times New Roman" w:hAnsi="Times New Roman" w:cs="Times New Roman"/>
          <w:color w:val="000000"/>
          <w:sz w:val="24"/>
        </w:rPr>
        <w:t xml:space="preserve"> </w:t>
      </w:r>
      <w:r>
        <w:rPr>
          <w:rFonts w:ascii="Times New Roman" w:hAnsi="Times New Roman" w:cs="Times New Roman"/>
          <w:color w:val="000000"/>
          <w:sz w:val="24"/>
        </w:rPr>
        <w:t xml:space="preserve">“20-40 %”</w:t>
      </w:r>
      <w:r>
        <w:rPr>
          <w:rFonts w:ascii="Times New Roman" w:hAnsi="Times New Roman" w:cs="Times New Roman"/>
          <w:color w:val="000000"/>
          <w:sz w:val="24"/>
        </w:rPr>
        <w:t xml:space="preserve"> </w:t>
      </w:r>
      <w:r>
        <w:rPr>
          <w:rFonts w:ascii="Times New Roman" w:hAnsi="Times New Roman" w:cs="Times New Roman"/>
          <w:color w:val="000000"/>
          <w:sz w:val="24"/>
        </w:rPr>
        <w:t xml:space="preserve">rules of thumb (Mattheck and Breloer 1994) substantially under-state the upper envelope.</w:t>
      </w:r>
    </w:p>
    <w:bookmarkEnd w:id="23"/>
    <w:bookmarkStart w:id="24" w:name="monte-carlo-life-ratio-distributions"/>
    <w:p>
      <w:pPr>
        <w:pStyle w:val="Heading3"/>
        <w:spacing w:line="480" w:lineRule="auto"/>
      </w:pPr>
      <w:r>
        <w:rPr>
          <w:rFonts w:ascii="Times New Roman" w:hAnsi="Times New Roman" w:cs="Times New Roman"/>
          <w:b/>
          <w:color w:val="000000"/>
          <w:sz w:val="24"/>
        </w:rPr>
        <w:t xml:space="preserve">3.3 Monte Carlo life ratio: distributions</w:t>
      </w:r>
    </w:p>
    <w:p>
      <w:pPr>
        <w:pStyle w:val="FirstParagraph"/>
        <w:spacing w:line="480" w:lineRule="auto"/>
      </w:pPr>
      <w:r>
        <w:rPr>
          <w:rFonts w:ascii="Times New Roman" w:hAnsi="Times New Roman" w:cs="Times New Roman"/>
          <w:color w:val="000000"/>
          <w:sz w:val="24"/>
        </w:rPr>
        <w:t xml:space="preserve">Figure 3 presents the cumulative distribution functions (CDFs) of the life ratio</w:t>
      </w:r>
      <w:r>
        <w:rPr>
          <w:rFonts w:ascii="Times New Roman" w:hAnsi="Times New Roman" w:cs="Times New Roman"/>
          <w:color w:val="000000"/>
          <w:sz w:val="24"/>
        </w:rPr>
        <w:t xml:space="preserve"> </w:t>
      </w:r>
      <m:oMath>
        <m:r>
          <m:t>ρ</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at five decay levels under three wind distributions, for the lower-bound S-N curve (</w:t>
      </w:r>
      <m:oMath>
        <m:r>
          <m:t>b</m:t>
        </m:r>
        <m:r>
          <m:rPr>
            <m:sty m:val="p"/>
          </m:rPr>
          <m:t>=</m:t>
        </m:r>
        <m:r>
          <m:t>0.125</m:t>
        </m:r>
      </m:oMath>
      <w:r>
        <w:rPr>
          <w:rFonts w:ascii="Times New Roman" w:hAnsi="Times New Roman" w:cs="Times New Roman"/>
          <w:color w:val="000000"/>
          <w:sz w:val="24"/>
        </w:rPr>
        <w:t xml:space="preserve">). The three wind distributions are visually indistinguishable at every</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tested; their numerical separation never exceeds</w:t>
      </w:r>
      <w:r>
        <w:rPr>
          <w:rFonts w:ascii="Times New Roman" w:hAnsi="Times New Roman" w:cs="Times New Roman"/>
          <w:color w:val="000000"/>
          <w:sz w:val="24"/>
        </w:rPr>
        <w:t xml:space="preserve"> </w:t>
      </w:r>
      <m:oMath>
        <m:r>
          <m:rPr>
            <m:sty m:val="p"/>
          </m:rPr>
          <m:t>|</m:t>
        </m:r>
        <m:r>
          <m:rPr>
            <m:sty m:val="p"/>
          </m:rPr>
          <m:t>Δ</m:t>
        </m:r>
        <m:sSub>
          <m:e>
            <m:r>
              <m:t>ρ</m:t>
            </m:r>
          </m:e>
          <m:sub>
            <m:r>
              <m:t>p</m:t>
            </m:r>
            <m:r>
              <m:t>50</m:t>
            </m:r>
          </m:sub>
        </m:sSub>
        <m:r>
          <m:rPr>
            <m:sty m:val="p"/>
          </m:rPr>
          <m:t>|</m:t>
        </m:r>
        <m:r>
          <m:rPr>
            <m:sty m:val="p"/>
          </m:rPr>
          <m:t>&lt;</m:t>
        </m:r>
        <m:r>
          <m:t>0.003</m:t>
        </m:r>
      </m:oMath>
      <w:r>
        <w:rPr>
          <w:rFonts w:ascii="Times New Roman" w:hAnsi="Times New Roman" w:cs="Times New Roman"/>
          <w:color w:val="000000"/>
          <w:sz w:val="24"/>
        </w:rPr>
        <w:t xml:space="preserve">, confirming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wind-direction collapse</w:t>
      </w:r>
      <w:r>
        <w:rPr>
          <w:rFonts w:ascii="Times New Roman" w:hAnsi="Times New Roman" w:cs="Times New Roman"/>
          <w:color w:val="000000"/>
          <w:sz w:val="24"/>
        </w:rPr>
        <w:t xml:space="preserve"> </w:t>
      </w:r>
      <w:r>
        <w:rPr>
          <w:rFonts w:ascii="Times New Roman" w:hAnsi="Times New Roman" w:cs="Times New Roman"/>
          <w:color w:val="000000"/>
          <w:sz w:val="24"/>
        </w:rPr>
        <w:t xml:space="preserve">result derived in Section 4.1.</w:t>
      </w:r>
    </w:p>
    <w:p>
      <w:pPr>
        <w:pStyle w:val="BodyText"/>
        <w:spacing w:line="480" w:lineRule="auto"/>
      </w:pPr>
      <w:r>
        <w:rPr>
          <w:rFonts w:ascii="Times New Roman" w:hAnsi="Times New Roman" w:cs="Times New Roman"/>
          <w:color w:val="000000"/>
          <w:sz w:val="24"/>
        </w:rPr>
        <w:t xml:space="preserve">Table 1 reports the principal percentiles. For lower-bound S-N at the Mattheck threshold</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the 5th-percentile of</w:t>
      </w:r>
      <w:r>
        <w:rPr>
          <w:rFonts w:ascii="Times New Roman" w:hAnsi="Times New Roman" w:cs="Times New Roman"/>
          <w:color w:val="000000"/>
          <w:sz w:val="24"/>
        </w:rPr>
        <w:t xml:space="preserve"> </w:t>
      </w:r>
      <m:oMath>
        <m:r>
          <m:t>ρ</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w:t>
      </w:r>
      <w:r>
        <w:rPr>
          <w:rFonts w:ascii="Times New Roman" w:hAnsi="Times New Roman" w:cs="Times New Roman"/>
          <w:color w:val="000000"/>
          <w:sz w:val="24"/>
        </w:rPr>
        <w:t xml:space="preserve"> </w:t>
      </w:r>
      <m:oMath>
        <m:r>
          <m:t>0.021</m:t>
        </m:r>
      </m:oMath>
      <w:r>
        <w:rPr>
          <w:rFonts w:ascii="Times New Roman" w:hAnsi="Times New Roman" w:cs="Times New Roman"/>
          <w:color w:val="000000"/>
          <w:sz w:val="24"/>
        </w:rPr>
        <w:t xml:space="preserve">, the median is</w:t>
      </w:r>
      <w:r>
        <w:rPr>
          <w:rFonts w:ascii="Times New Roman" w:hAnsi="Times New Roman" w:cs="Times New Roman"/>
          <w:color w:val="000000"/>
          <w:sz w:val="24"/>
        </w:rPr>
        <w:t xml:space="preserve"> </w:t>
      </w:r>
      <m:oMath>
        <m:r>
          <m:t>0.250</m:t>
        </m:r>
      </m:oMath>
      <w:r>
        <w:rPr>
          <w:rFonts w:ascii="Times New Roman" w:hAnsi="Times New Roman" w:cs="Times New Roman"/>
          <w:color w:val="000000"/>
          <w:sz w:val="24"/>
        </w:rPr>
        <w:t xml:space="preserve">, and the 95th-percentile is</w:t>
      </w:r>
      <w:r>
        <w:rPr>
          <w:rFonts w:ascii="Times New Roman" w:hAnsi="Times New Roman" w:cs="Times New Roman"/>
          <w:color w:val="000000"/>
          <w:sz w:val="24"/>
        </w:rPr>
        <w:t xml:space="preserve"> </w:t>
      </w:r>
      <m:oMath>
        <m:r>
          <m:t>0.778</m:t>
        </m:r>
      </m:oMath>
      <w:r>
        <w:rPr>
          <w:rFonts w:ascii="Times New Roman" w:hAnsi="Times New Roman" w:cs="Times New Roman"/>
          <w:color w:val="000000"/>
          <w:sz w:val="24"/>
        </w:rPr>
        <w:t xml:space="preserve">. Inverted, this means the eccentric correction shortens fatigue life by factors of</w:t>
      </w:r>
      <w:r>
        <w:rPr>
          <w:rFonts w:ascii="Times New Roman" w:hAnsi="Times New Roman" w:cs="Times New Roman"/>
          <w:color w:val="000000"/>
          <w:sz w:val="24"/>
        </w:rPr>
        <w:t xml:space="preserve"> </w:t>
      </w:r>
      <m:oMath>
        <m:r>
          <m:t>47</m:t>
        </m:r>
        <m:r>
          <m:rPr>
            <m:sty m:val="p"/>
          </m:rPr>
          <m:t>×</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r>
          <m:t>4.0</m:t>
        </m:r>
        <m:r>
          <m:rPr>
            <m:sty m:val="p"/>
          </m:rPr>
          <m:t>×</m:t>
        </m:r>
      </m:oMath>
      <w:r>
        <w:rPr>
          <w:rFonts w:ascii="Times New Roman" w:hAnsi="Times New Roman" w:cs="Times New Roman"/>
          <w:color w:val="000000"/>
          <w:sz w:val="24"/>
        </w:rPr>
        <w:t xml:space="preserve">, and</w:t>
      </w:r>
      <w:r>
        <w:rPr>
          <w:rFonts w:ascii="Times New Roman" w:hAnsi="Times New Roman" w:cs="Times New Roman"/>
          <w:color w:val="000000"/>
          <w:sz w:val="24"/>
        </w:rPr>
        <w:t xml:space="preserve"> </w:t>
      </w:r>
      <m:oMath>
        <m:r>
          <m:t>1.29</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at the same three percentiles. For the mean S-N curve (</w:t>
      </w:r>
      <m:oMath>
        <m:r>
          <m:t>b</m:t>
        </m:r>
        <m:r>
          <m:rPr>
            <m:sty m:val="p"/>
          </m:rPr>
          <m:t>=</m:t>
        </m:r>
        <m:r>
          <m:t>0.10</m:t>
        </m:r>
      </m:oMath>
      <w:r>
        <w:rPr>
          <w:rFonts w:ascii="Times New Roman" w:hAnsi="Times New Roman" w:cs="Times New Roman"/>
          <w:color w:val="000000"/>
          <w:sz w:val="24"/>
        </w:rPr>
        <w:t xml:space="preserve">), the corresponding factors are</w:t>
      </w:r>
      <w:r>
        <w:rPr>
          <w:rFonts w:ascii="Times New Roman" w:hAnsi="Times New Roman" w:cs="Times New Roman"/>
          <w:color w:val="000000"/>
          <w:sz w:val="24"/>
        </w:rPr>
        <w:t xml:space="preserve"> </w:t>
      </w:r>
      <m:oMath>
        <m:r>
          <m:t>143</m:t>
        </m:r>
        <m:r>
          <m:rPr>
            <m:sty m:val="p"/>
          </m:rPr>
          <m:t>×</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r>
          <m:t>6.0</m:t>
        </m:r>
        <m:r>
          <m:rPr>
            <m:sty m:val="p"/>
          </m:rPr>
          <m:t>×</m:t>
        </m:r>
      </m:oMath>
      <w:r>
        <w:rPr>
          <w:rFonts w:ascii="Times New Roman" w:hAnsi="Times New Roman" w:cs="Times New Roman"/>
          <w:color w:val="000000"/>
          <w:sz w:val="24"/>
        </w:rPr>
        <w:t xml:space="preserve">, and</w:t>
      </w:r>
      <w:r>
        <w:rPr>
          <w:rFonts w:ascii="Times New Roman" w:hAnsi="Times New Roman" w:cs="Times New Roman"/>
          <w:color w:val="000000"/>
          <w:sz w:val="24"/>
        </w:rPr>
        <w:t xml:space="preserve"> </w:t>
      </w:r>
      <m:oMath>
        <m:r>
          <m:t>1.37</m:t>
        </m:r>
        <m:r>
          <m:rPr>
            <m:sty m:val="p"/>
          </m:rPr>
          <m:t>×</m:t>
        </m:r>
      </m:oMath>
      <w:r>
        <w:rPr>
          <w:rFonts w:ascii="Times New Roman" w:hAnsi="Times New Roman" w:cs="Times New Roman"/>
          <w:color w:val="000000"/>
          <w:sz w:val="24"/>
        </w:rPr>
        <w:t xml:space="preserve">.</w:t>
      </w:r>
    </w:p>
    <w:p>
      <w:pPr>
        <w:pStyle w:val="BodyText"/>
        <w:spacing w:line="480" w:lineRule="auto"/>
      </w:pPr>
      <w:r>
        <w:rPr>
          <w:rFonts w:ascii="Times New Roman" w:hAnsi="Times New Roman" w:cs="Times New Roman"/>
          <w:b/>
          <w:bCs/>
          <w:color w:val="000000"/>
          <w:sz w:val="24"/>
        </w:rPr>
        <w:t xml:space="preserve">Table 1.</w:t>
      </w:r>
      <w:r>
        <w:rPr>
          <w:rFonts w:ascii="Times New Roman" w:hAnsi="Times New Roman" w:cs="Times New Roman"/>
          <w:color w:val="000000"/>
          <w:sz w:val="24"/>
        </w:rPr>
        <w:t xml:space="preserve"> </w:t>
      </w:r>
      <w:r>
        <w:rPr>
          <w:rFonts w:ascii="Times New Roman" w:hAnsi="Times New Roman" w:cs="Times New Roman"/>
          <w:color w:val="000000"/>
          <w:sz w:val="24"/>
        </w:rPr>
        <w:t xml:space="preserve">Per-percentile life-ratio summary, isotropic wind,</w:t>
      </w:r>
      <w:r>
        <w:rPr>
          <w:rFonts w:ascii="Times New Roman" w:hAnsi="Times New Roman" w:cs="Times New Roman"/>
          <w:color w:val="000000"/>
          <w:sz w:val="24"/>
        </w:rPr>
        <w:t xml:space="preserve"> </w:t>
      </w:r>
      <m:oMath>
        <m:r>
          <m:t>n</m:t>
        </m:r>
        <m:r>
          <m:rPr>
            <m:sty m:val="p"/>
          </m:rPr>
          <m:t>=</m:t>
        </m:r>
        <m:r>
          <m:t>10</m:t>
        </m:r>
        <m:r>
          <m:t> </m:t>
        </m:r>
        <m:r>
          <m:t>000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samples.</w:t>
      </w:r>
    </w:p>
    <w:tbl>
      <w:tblPr>
        <w:tblStyle w:val="Table"/>
        <w:tblW w:type="pct" w:w="5000"/>
        <w:tblLayout w:type="fixed"/>
        <w:tblLook w:firstRow="1" w:lastRow="0" w:firstColumn="0" w:lastColumn="0" w:noHBand="0" w:noVBand="0" w:val="0020"/>
      </w:tblPr>
      <w:tblGrid>
        <w:gridCol w:w="803"/>
        <w:gridCol w:w="1262"/>
        <w:gridCol w:w="1377"/>
        <w:gridCol w:w="1377"/>
        <w:gridCol w:w="1492"/>
        <w:gridCol w:w="1606"/>
      </w:tblGrid>
      <w:tr>
        <w:trPr>
          <w:tblHeader w:val="on"/>
        </w:trPr>
        <w:tc>
          <w:tcPr/>
          <w:p>
            <w:pPr>
              <w:pStyle w:val="Compact"/>
              <w:spacing w:line="240" w:lineRule="auto"/>
            </w:pPr>
            <m:oMath>
              <m:sSub>
                <m:e>
                  <m:r>
                    <m:t>r</m:t>
                  </m:r>
                </m:e>
                <m:sub>
                  <m:r>
                    <m:t>d</m:t>
                  </m:r>
                </m:sub>
              </m:sSub>
              <m:r>
                <m:rPr>
                  <m:sty m:val="p"/>
                </m:rPr>
                <m:t>/</m:t>
              </m:r>
              <m:r>
                <m:t>R</m:t>
              </m:r>
            </m:oMath>
          </w:p>
        </w:tc>
        <w:tc>
          <w:tcPr/>
          <w:p>
            <w:pPr>
              <w:pStyle w:val="Compact"/>
              <w:spacing w:line="240" w:lineRule="auto"/>
            </w:pPr>
            <m:oMath>
              <m:sSub>
                <m:e>
                  <m:r>
                    <m:t>ρ</m:t>
                  </m:r>
                </m:e>
                <m:sub>
                  <m:r>
                    <m:t>p</m:t>
                  </m:r>
                  <m:r>
                    <m:t>5</m:t>
                  </m:r>
                </m:sub>
              </m:sSub>
            </m:oMath>
          </w:p>
        </w:tc>
        <w:tc>
          <w:tcPr/>
          <w:p>
            <w:pPr>
              <w:pStyle w:val="Compact"/>
              <w:spacing w:line="240" w:lineRule="auto"/>
            </w:pPr>
            <m:oMath>
              <m:sSub>
                <m:e>
                  <m:r>
                    <m:t>ρ</m:t>
                  </m:r>
                </m:e>
                <m:sub>
                  <m:r>
                    <m:t>p</m:t>
                  </m:r>
                  <m:r>
                    <m:t>50</m:t>
                  </m:r>
                </m:sub>
              </m:sSub>
            </m:oMath>
          </w:p>
        </w:tc>
        <w:tc>
          <w:tcPr/>
          <w:p>
            <w:pPr>
              <w:pStyle w:val="Compact"/>
              <w:spacing w:line="240" w:lineRule="auto"/>
            </w:pPr>
            <m:oMath>
              <m:sSub>
                <m:e>
                  <m:r>
                    <m:t>ρ</m:t>
                  </m:r>
                </m:e>
                <m:sub>
                  <m:r>
                    <m:t>p</m:t>
                  </m:r>
                  <m:r>
                    <m:t>95</m:t>
                  </m:r>
                </m:sub>
              </m:sSub>
            </m:oMath>
          </w:p>
        </w:tc>
        <w:tc>
          <w:tcPr/>
          <w:p>
            <w:pPr>
              <w:pStyle w:val="Compact"/>
              <w:spacing w:line="240" w:lineRule="auto"/>
            </w:pPr>
            <m:oMath>
              <m:r>
                <m:t>1</m:t>
              </m:r>
              <m:r>
                <m:rPr>
                  <m:sty m:val="p"/>
                </m:rPr>
                <m:t>/</m:t>
              </m:r>
              <m:sSub>
                <m:e>
                  <m:r>
                    <m:t>ρ</m:t>
                  </m:r>
                </m:e>
                <m:sub>
                  <m:r>
                    <m:t>p</m:t>
                  </m:r>
                  <m:r>
                    <m:t>5</m:t>
                  </m:r>
                </m:sub>
              </m:sSub>
            </m:oMath>
          </w:p>
        </w:tc>
        <w:tc>
          <w:tcPr/>
          <w:p>
            <w:pPr>
              <w:pStyle w:val="Compact"/>
              <w:spacing w:line="240" w:lineRule="auto"/>
            </w:pPr>
            <m:oMath>
              <m:r>
                <m:t>1</m:t>
              </m:r>
              <m:r>
                <m:rPr>
                  <m:sty m:val="p"/>
                </m:rPr>
                <m:t>/</m:t>
              </m:r>
              <m:sSub>
                <m:e>
                  <m:r>
                    <m:t>ρ</m:t>
                  </m:r>
                </m:e>
                <m:sub>
                  <m:r>
                    <m:t>p</m:t>
                  </m:r>
                  <m:r>
                    <m:t>50</m:t>
                  </m:r>
                </m:sub>
              </m:sSub>
            </m:oMath>
          </w:p>
        </w:tc>
      </w:tr>
      <w:tr>
        <w:tc>
          <w:tcPr/>
          <w:p>
            <w:pPr>
              <w:pStyle w:val="Compact"/>
              <w:spacing w:line="240" w:lineRule="auto"/>
            </w:pPr>
            <w:r>
              <w:rPr>
                <w:rFonts w:ascii="Times New Roman" w:hAnsi="Times New Roman"/>
                <w:b/>
                <w:bCs/>
                <w:color w:val="000000"/>
              </w:rPr>
              <w:t xml:space="preserve">Lower-bound S-N (b = 0.125)</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color w:val="000000"/>
              </w:rPr>
              <w:t xml:space="preserve">0.30</w:t>
            </w:r>
          </w:p>
        </w:tc>
        <w:tc>
          <w:tcPr/>
          <w:p>
            <w:pPr>
              <w:pStyle w:val="Compact"/>
              <w:spacing w:line="240" w:lineRule="auto"/>
            </w:pPr>
            <w:r>
              <w:rPr>
                <w:rFonts w:ascii="Times New Roman" w:hAnsi="Times New Roman"/>
                <w:color w:val="000000"/>
              </w:rPr>
              <w:t xml:space="preserve">0.341</w:t>
            </w:r>
          </w:p>
        </w:tc>
        <w:tc>
          <w:tcPr/>
          <w:p>
            <w:pPr>
              <w:pStyle w:val="Compact"/>
              <w:spacing w:line="240" w:lineRule="auto"/>
            </w:pPr>
            <w:r>
              <w:rPr>
                <w:rFonts w:ascii="Times New Roman" w:hAnsi="Times New Roman"/>
                <w:color w:val="000000"/>
              </w:rPr>
              <w:t xml:space="preserve">0.672</w:t>
            </w:r>
          </w:p>
        </w:tc>
        <w:tc>
          <w:tcPr/>
          <w:p>
            <w:pPr>
              <w:pStyle w:val="Compact"/>
              <w:spacing w:line="240" w:lineRule="auto"/>
            </w:pPr>
            <w:r>
              <w:rPr>
                <w:rFonts w:ascii="Times New Roman" w:hAnsi="Times New Roman"/>
                <w:color w:val="000000"/>
              </w:rPr>
              <w:t xml:space="preserve">0.942</w:t>
            </w:r>
          </w:p>
        </w:tc>
        <w:tc>
          <w:tcPr/>
          <w:p>
            <w:pPr>
              <w:pStyle w:val="Compact"/>
              <w:spacing w:line="240" w:lineRule="auto"/>
            </w:pPr>
            <w:r>
              <w:rPr>
                <w:rFonts w:ascii="Times New Roman" w:hAnsi="Times New Roman"/>
                <w:color w:val="000000"/>
              </w:rPr>
              <w:t xml:space="preserve">2.9×</w:t>
            </w:r>
          </w:p>
        </w:tc>
        <w:tc>
          <w:tcPr/>
          <w:p>
            <w:pPr>
              <w:pStyle w:val="Compact"/>
              <w:spacing w:line="240" w:lineRule="auto"/>
            </w:pPr>
            <w:r>
              <w:rPr>
                <w:rFonts w:ascii="Times New Roman" w:hAnsi="Times New Roman"/>
                <w:color w:val="000000"/>
              </w:rPr>
              <w:t xml:space="preserve">1.5×</w:t>
            </w:r>
          </w:p>
        </w:tc>
      </w:tr>
      <w:tr>
        <w:tc>
          <w:tcPr/>
          <w:p>
            <w:pPr>
              <w:pStyle w:val="Compact"/>
              <w:spacing w:line="240" w:lineRule="auto"/>
            </w:pPr>
            <w:r>
              <w:rPr>
                <w:rFonts w:ascii="Times New Roman" w:hAnsi="Times New Roman"/>
                <w:color w:val="000000"/>
              </w:rPr>
              <w:t xml:space="preserve">0.50</w:t>
            </w:r>
          </w:p>
        </w:tc>
        <w:tc>
          <w:tcPr/>
          <w:p>
            <w:pPr>
              <w:pStyle w:val="Compact"/>
              <w:spacing w:line="240" w:lineRule="auto"/>
            </w:pPr>
            <w:r>
              <w:rPr>
                <w:rFonts w:ascii="Times New Roman" w:hAnsi="Times New Roman"/>
                <w:color w:val="000000"/>
              </w:rPr>
              <w:t xml:space="preserve">0.083</w:t>
            </w:r>
          </w:p>
        </w:tc>
        <w:tc>
          <w:tcPr/>
          <w:p>
            <w:pPr>
              <w:pStyle w:val="Compact"/>
              <w:spacing w:line="240" w:lineRule="auto"/>
            </w:pPr>
            <w:r>
              <w:rPr>
                <w:rFonts w:ascii="Times New Roman" w:hAnsi="Times New Roman"/>
                <w:color w:val="000000"/>
              </w:rPr>
              <w:t xml:space="preserve">0.413</w:t>
            </w:r>
          </w:p>
        </w:tc>
        <w:tc>
          <w:tcPr/>
          <w:p>
            <w:pPr>
              <w:pStyle w:val="Compact"/>
              <w:spacing w:line="240" w:lineRule="auto"/>
            </w:pPr>
            <w:r>
              <w:rPr>
                <w:rFonts w:ascii="Times New Roman" w:hAnsi="Times New Roman"/>
                <w:color w:val="000000"/>
              </w:rPr>
              <w:t xml:space="preserve">0.865</w:t>
            </w:r>
          </w:p>
        </w:tc>
        <w:tc>
          <w:tcPr/>
          <w:p>
            <w:pPr>
              <w:pStyle w:val="Compact"/>
              <w:spacing w:line="240" w:lineRule="auto"/>
            </w:pPr>
            <w:r>
              <w:rPr>
                <w:rFonts w:ascii="Times New Roman" w:hAnsi="Times New Roman"/>
                <w:color w:val="000000"/>
              </w:rPr>
              <w:t xml:space="preserve">12×</w:t>
            </w:r>
          </w:p>
        </w:tc>
        <w:tc>
          <w:tcPr/>
          <w:p>
            <w:pPr>
              <w:pStyle w:val="Compact"/>
              <w:spacing w:line="240" w:lineRule="auto"/>
            </w:pPr>
            <w:r>
              <w:rPr>
                <w:rFonts w:ascii="Times New Roman" w:hAnsi="Times New Roman"/>
                <w:color w:val="000000"/>
              </w:rPr>
              <w:t xml:space="preserve">2.4×</w:t>
            </w:r>
          </w:p>
        </w:tc>
      </w:tr>
      <w:tr>
        <w:tc>
          <w:tcPr/>
          <w:p>
            <w:pPr>
              <w:pStyle w:val="Compact"/>
              <w:spacing w:line="240" w:lineRule="auto"/>
            </w:pPr>
            <w:r>
              <w:rPr>
                <w:rFonts w:ascii="Times New Roman" w:hAnsi="Times New Roman"/>
                <w:color w:val="000000"/>
              </w:rPr>
              <w:t xml:space="preserve">0.60</w:t>
            </w:r>
          </w:p>
        </w:tc>
        <w:tc>
          <w:tcPr/>
          <w:p>
            <w:pPr>
              <w:pStyle w:val="Compact"/>
              <w:spacing w:line="240" w:lineRule="auto"/>
            </w:pPr>
            <w:r>
              <w:rPr>
                <w:rFonts w:ascii="Times New Roman" w:hAnsi="Times New Roman"/>
                <w:color w:val="000000"/>
              </w:rPr>
              <w:t xml:space="preserve">0.042</w:t>
            </w:r>
          </w:p>
        </w:tc>
        <w:tc>
          <w:tcPr/>
          <w:p>
            <w:pPr>
              <w:pStyle w:val="Compact"/>
              <w:spacing w:line="240" w:lineRule="auto"/>
            </w:pPr>
            <w:r>
              <w:rPr>
                <w:rFonts w:ascii="Times New Roman" w:hAnsi="Times New Roman"/>
                <w:color w:val="000000"/>
              </w:rPr>
              <w:t xml:space="preserve">0.322</w:t>
            </w:r>
          </w:p>
        </w:tc>
        <w:tc>
          <w:tcPr/>
          <w:p>
            <w:pPr>
              <w:pStyle w:val="Compact"/>
              <w:spacing w:line="240" w:lineRule="auto"/>
            </w:pPr>
            <w:r>
              <w:rPr>
                <w:rFonts w:ascii="Times New Roman" w:hAnsi="Times New Roman"/>
                <w:color w:val="000000"/>
              </w:rPr>
              <w:t xml:space="preserve">0.826</w:t>
            </w:r>
          </w:p>
        </w:tc>
        <w:tc>
          <w:tcPr/>
          <w:p>
            <w:pPr>
              <w:pStyle w:val="Compact"/>
              <w:spacing w:line="240" w:lineRule="auto"/>
            </w:pPr>
            <w:r>
              <w:rPr>
                <w:rFonts w:ascii="Times New Roman" w:hAnsi="Times New Roman"/>
                <w:color w:val="000000"/>
              </w:rPr>
              <w:t xml:space="preserve">24×</w:t>
            </w:r>
          </w:p>
        </w:tc>
        <w:tc>
          <w:tcPr/>
          <w:p>
            <w:pPr>
              <w:pStyle w:val="Compact"/>
              <w:spacing w:line="240" w:lineRule="auto"/>
            </w:pPr>
            <w:r>
              <w:rPr>
                <w:rFonts w:ascii="Times New Roman" w:hAnsi="Times New Roman"/>
                <w:color w:val="000000"/>
              </w:rPr>
              <w:t xml:space="preserve">3.1×</w:t>
            </w:r>
          </w:p>
        </w:tc>
      </w:tr>
      <w:tr>
        <w:tc>
          <w:tcPr/>
          <w:p>
            <w:pPr>
              <w:pStyle w:val="Compact"/>
              <w:spacing w:line="240" w:lineRule="auto"/>
            </w:pPr>
            <w:r>
              <w:rPr>
                <w:rFonts w:ascii="Times New Roman" w:hAnsi="Times New Roman"/>
                <w:b/>
                <w:bCs/>
                <w:color w:val="000000"/>
              </w:rPr>
              <w:t xml:space="preserve">0.70 (Mattheck)</w:t>
            </w:r>
          </w:p>
        </w:tc>
        <w:tc>
          <w:tcPr/>
          <w:p>
            <w:pPr>
              <w:pStyle w:val="Compact"/>
              <w:spacing w:line="240" w:lineRule="auto"/>
            </w:pPr>
            <w:r>
              <w:rPr>
                <w:rFonts w:ascii="Times New Roman" w:hAnsi="Times New Roman"/>
                <w:b/>
                <w:bCs/>
                <w:color w:val="000000"/>
              </w:rPr>
              <w:t xml:space="preserve">0.021</w:t>
            </w:r>
          </w:p>
        </w:tc>
        <w:tc>
          <w:tcPr/>
          <w:p>
            <w:pPr>
              <w:pStyle w:val="Compact"/>
              <w:spacing w:line="240" w:lineRule="auto"/>
            </w:pPr>
            <w:r>
              <w:rPr>
                <w:rFonts w:ascii="Times New Roman" w:hAnsi="Times New Roman"/>
                <w:b/>
                <w:bCs/>
                <w:color w:val="000000"/>
              </w:rPr>
              <w:t xml:space="preserve">0.250</w:t>
            </w:r>
          </w:p>
        </w:tc>
        <w:tc>
          <w:tcPr/>
          <w:p>
            <w:pPr>
              <w:pStyle w:val="Compact"/>
              <w:spacing w:line="240" w:lineRule="auto"/>
            </w:pPr>
            <w:r>
              <w:rPr>
                <w:rFonts w:ascii="Times New Roman" w:hAnsi="Times New Roman"/>
                <w:color w:val="000000"/>
              </w:rPr>
              <w:t xml:space="preserve">0.778</w:t>
            </w:r>
          </w:p>
        </w:tc>
        <w:tc>
          <w:tcPr/>
          <w:p>
            <w:pPr>
              <w:pStyle w:val="Compact"/>
              <w:spacing w:line="240" w:lineRule="auto"/>
            </w:pPr>
            <w:r>
              <w:rPr>
                <w:rFonts w:ascii="Times New Roman" w:hAnsi="Times New Roman"/>
                <w:b/>
                <w:bCs/>
                <w:color w:val="000000"/>
              </w:rPr>
              <w:t xml:space="preserve">47×</w:t>
            </w:r>
          </w:p>
        </w:tc>
        <w:tc>
          <w:tcPr/>
          <w:p>
            <w:pPr>
              <w:pStyle w:val="Compact"/>
              <w:spacing w:line="240" w:lineRule="auto"/>
            </w:pPr>
            <w:r>
              <w:rPr>
                <w:rFonts w:ascii="Times New Roman" w:hAnsi="Times New Roman"/>
                <w:color w:val="000000"/>
              </w:rPr>
              <w:t xml:space="preserve">4.0×</w:t>
            </w:r>
          </w:p>
        </w:tc>
      </w:tr>
      <w:tr>
        <w:tc>
          <w:tcPr/>
          <w:p>
            <w:pPr>
              <w:pStyle w:val="Compact"/>
              <w:spacing w:line="240" w:lineRule="auto"/>
            </w:pPr>
            <w:r>
              <w:rPr>
                <w:rFonts w:ascii="Times New Roman" w:hAnsi="Times New Roman"/>
                <w:color w:val="000000"/>
              </w:rPr>
              <w:t xml:space="preserve">0.80</w:t>
            </w:r>
          </w:p>
        </w:tc>
        <w:tc>
          <w:tcPr/>
          <w:p>
            <w:pPr>
              <w:pStyle w:val="Compact"/>
              <w:spacing w:line="240" w:lineRule="auto"/>
            </w:pPr>
            <w:r>
              <w:rPr>
                <w:rFonts w:ascii="Times New Roman" w:hAnsi="Times New Roman"/>
                <w:color w:val="000000"/>
              </w:rPr>
              <w:t xml:space="preserve">0.013</w:t>
            </w:r>
          </w:p>
        </w:tc>
        <w:tc>
          <w:tcPr/>
          <w:p>
            <w:pPr>
              <w:pStyle w:val="Compact"/>
              <w:spacing w:line="240" w:lineRule="auto"/>
            </w:pPr>
            <w:r>
              <w:rPr>
                <w:rFonts w:ascii="Times New Roman" w:hAnsi="Times New Roman"/>
                <w:color w:val="000000"/>
              </w:rPr>
              <w:t xml:space="preserve">0.205</w:t>
            </w:r>
          </w:p>
        </w:tc>
        <w:tc>
          <w:tcPr/>
          <w:p>
            <w:pPr>
              <w:pStyle w:val="Compact"/>
              <w:spacing w:line="240" w:lineRule="auto"/>
            </w:pPr>
            <w:r>
              <w:rPr>
                <w:rFonts w:ascii="Times New Roman" w:hAnsi="Times New Roman"/>
                <w:color w:val="000000"/>
              </w:rPr>
              <w:t xml:space="preserve">0.753</w:t>
            </w:r>
          </w:p>
        </w:tc>
        <w:tc>
          <w:tcPr/>
          <w:p>
            <w:pPr>
              <w:pStyle w:val="Compact"/>
              <w:spacing w:line="240" w:lineRule="auto"/>
            </w:pPr>
            <w:r>
              <w:rPr>
                <w:rFonts w:ascii="Times New Roman" w:hAnsi="Times New Roman"/>
                <w:color w:val="000000"/>
              </w:rPr>
              <w:t xml:space="preserve">78×</w:t>
            </w:r>
          </w:p>
        </w:tc>
        <w:tc>
          <w:tcPr/>
          <w:p>
            <w:pPr>
              <w:pStyle w:val="Compact"/>
              <w:spacing w:line="240" w:lineRule="auto"/>
            </w:pPr>
            <w:r>
              <w:rPr>
                <w:rFonts w:ascii="Times New Roman" w:hAnsi="Times New Roman"/>
                <w:color w:val="000000"/>
              </w:rPr>
              <w:t xml:space="preserve">4.9×</w:t>
            </w:r>
          </w:p>
        </w:tc>
      </w:tr>
      <w:tr>
        <w:tc>
          <w:tcPr/>
          <w:p>
            <w:pPr>
              <w:pStyle w:val="Compact"/>
              <w:spacing w:line="240" w:lineRule="auto"/>
            </w:pPr>
            <w:r>
              <w:rPr>
                <w:rFonts w:ascii="Times New Roman" w:hAnsi="Times New Roman"/>
                <w:b/>
                <w:bCs/>
                <w:color w:val="000000"/>
              </w:rPr>
              <w:t xml:space="preserve">Mean S-N (b = 0.10)</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color w:val="000000"/>
              </w:rPr>
              <w:t xml:space="preserve">0.70</w:t>
            </w:r>
          </w:p>
        </w:tc>
        <w:tc>
          <w:tcPr/>
          <w:p>
            <w:pPr>
              <w:pStyle w:val="Compact"/>
              <w:spacing w:line="240" w:lineRule="auto"/>
            </w:pPr>
            <w:r>
              <w:rPr>
                <w:rFonts w:ascii="Times New Roman" w:hAnsi="Times New Roman"/>
                <w:b/>
                <w:bCs/>
                <w:color w:val="000000"/>
              </w:rPr>
              <w:t xml:space="preserve">0.007</w:t>
            </w:r>
          </w:p>
        </w:tc>
        <w:tc>
          <w:tcPr/>
          <w:p>
            <w:pPr>
              <w:pStyle w:val="Compact"/>
              <w:spacing w:line="240" w:lineRule="auto"/>
            </w:pPr>
            <w:r>
              <w:rPr>
                <w:rFonts w:ascii="Times New Roman" w:hAnsi="Times New Roman"/>
                <w:color w:val="000000"/>
              </w:rPr>
              <w:t xml:space="preserve">0.167</w:t>
            </w:r>
          </w:p>
        </w:tc>
        <w:tc>
          <w:tcPr/>
          <w:p>
            <w:pPr>
              <w:pStyle w:val="Compact"/>
              <w:spacing w:line="240" w:lineRule="auto"/>
            </w:pPr>
            <w:r>
              <w:rPr>
                <w:rFonts w:ascii="Times New Roman" w:hAnsi="Times New Roman"/>
                <w:color w:val="000000"/>
              </w:rPr>
              <w:t xml:space="preserve">0.729</w:t>
            </w:r>
          </w:p>
        </w:tc>
        <w:tc>
          <w:tcPr/>
          <w:p>
            <w:pPr>
              <w:pStyle w:val="Compact"/>
              <w:spacing w:line="240" w:lineRule="auto"/>
            </w:pPr>
            <w:r>
              <w:rPr>
                <w:rFonts w:ascii="Times New Roman" w:hAnsi="Times New Roman"/>
                <w:b/>
                <w:bCs/>
                <w:color w:val="000000"/>
              </w:rPr>
              <w:t xml:space="preserve">143×</w:t>
            </w:r>
          </w:p>
        </w:tc>
        <w:tc>
          <w:tcPr/>
          <w:p>
            <w:pPr>
              <w:pStyle w:val="Compact"/>
              <w:spacing w:line="240" w:lineRule="auto"/>
            </w:pPr>
            <w:r>
              <w:rPr>
                <w:rFonts w:ascii="Times New Roman" w:hAnsi="Times New Roman"/>
                <w:color w:val="000000"/>
              </w:rPr>
              <w:t xml:space="preserve">6.0×</w:t>
            </w:r>
          </w:p>
        </w:tc>
      </w:tr>
      <w:tr>
        <w:tc>
          <w:tcPr/>
          <w:p>
            <w:pPr>
              <w:pStyle w:val="Compact"/>
              <w:spacing w:line="240" w:lineRule="auto"/>
            </w:pPr>
            <w:r>
              <w:rPr>
                <w:rFonts w:ascii="Times New Roman" w:hAnsi="Times New Roman"/>
                <w:color w:val="000000"/>
              </w:rPr>
              <w:t xml:space="preserve">0.80</w:t>
            </w:r>
          </w:p>
        </w:tc>
        <w:tc>
          <w:tcPr/>
          <w:p>
            <w:pPr>
              <w:pStyle w:val="Compact"/>
              <w:spacing w:line="240" w:lineRule="auto"/>
            </w:pPr>
            <w:r>
              <w:rPr>
                <w:rFonts w:ascii="Times New Roman" w:hAnsi="Times New Roman"/>
                <w:color w:val="000000"/>
              </w:rPr>
              <w:t xml:space="preserve">0.004</w:t>
            </w:r>
          </w:p>
        </w:tc>
        <w:tc>
          <w:tcPr/>
          <w:p>
            <w:pPr>
              <w:pStyle w:val="Compact"/>
              <w:spacing w:line="240" w:lineRule="auto"/>
            </w:pPr>
            <w:r>
              <w:rPr>
                <w:rFonts w:ascii="Times New Roman" w:hAnsi="Times New Roman"/>
                <w:color w:val="000000"/>
              </w:rPr>
              <w:t xml:space="preserve">0.129</w:t>
            </w:r>
          </w:p>
        </w:tc>
        <w:tc>
          <w:tcPr/>
          <w:p>
            <w:pPr>
              <w:pStyle w:val="Compact"/>
              <w:spacing w:line="240" w:lineRule="auto"/>
            </w:pPr>
            <w:r>
              <w:rPr>
                <w:rFonts w:ascii="Times New Roman" w:hAnsi="Times New Roman"/>
                <w:color w:val="000000"/>
              </w:rPr>
              <w:t xml:space="preserve">0.699</w:t>
            </w:r>
          </w:p>
        </w:tc>
        <w:tc>
          <w:tcPr/>
          <w:p>
            <w:pPr>
              <w:pStyle w:val="Compact"/>
              <w:spacing w:line="240" w:lineRule="auto"/>
            </w:pPr>
            <w:r>
              <w:rPr>
                <w:rFonts w:ascii="Times New Roman" w:hAnsi="Times New Roman"/>
                <w:color w:val="000000"/>
              </w:rPr>
              <w:t xml:space="preserve">250×</w:t>
            </w:r>
          </w:p>
        </w:tc>
        <w:tc>
          <w:tcPr/>
          <w:p>
            <w:pPr>
              <w:pStyle w:val="Compact"/>
              <w:spacing w:line="240" w:lineRule="auto"/>
            </w:pPr>
            <w:r>
              <w:rPr>
                <w:rFonts w:ascii="Times New Roman" w:hAnsi="Times New Roman"/>
                <w:color w:val="000000"/>
              </w:rPr>
              <w:t xml:space="preserve">7.7×</w:t>
            </w:r>
          </w:p>
        </w:tc>
      </w:tr>
    </w:tbl>
    <w:p>
      <w:pPr>
        <w:pStyle w:val="BodyText"/>
        <w:spacing w:line="480" w:lineRule="auto"/>
      </w:pPr>
      <w:r>
        <w:rPr>
          <w:rFonts w:ascii="Times New Roman" w:hAnsi="Times New Roman" w:cs="Times New Roman"/>
          <w:color w:val="000000"/>
          <w:sz w:val="24"/>
        </w:rPr>
        <w:t xml:space="preserve">Figures 4 and 5 visualise the percentile bands and the life-shortening factor heatmap respectively, providing complementary views suitable for engineering-decision audiences. Figure 6 zooms into the Mattheck-threshold distribution and explicitly compares it with the deterministic concentric estimate.</w:t>
      </w:r>
    </w:p>
    <w:bookmarkEnd w:id="24"/>
    <w:bookmarkStart w:id="25" w:name="wind-direction-distribution-decouples"/>
    <w:p>
      <w:pPr>
        <w:pStyle w:val="Heading3"/>
        <w:spacing w:line="480" w:lineRule="auto"/>
      </w:pPr>
      <w:r>
        <w:rPr>
          <w:rFonts w:ascii="Times New Roman" w:hAnsi="Times New Roman" w:cs="Times New Roman"/>
          <w:b/>
          <w:color w:val="000000"/>
          <w:sz w:val="24"/>
        </w:rPr>
        <w:t xml:space="preserve">3.4 Wind-direction distribution decouples</w:t>
      </w:r>
    </w:p>
    <w:p>
      <w:pPr>
        <w:pStyle w:val="FirstParagraph"/>
        <w:spacing w:line="480" w:lineRule="auto"/>
      </w:pPr>
      <w:r>
        <w:rPr>
          <w:rFonts w:ascii="Times New Roman" w:hAnsi="Times New Roman" w:cs="Times New Roman"/>
          <w:color w:val="000000"/>
          <w:sz w:val="24"/>
        </w:rPr>
        <w:t xml:space="preserve">The intuition that wind-rose data should propagate into the life-ratio prediction proves to be wrong under uniform cavity-orientation priors. Because the cavity offset direction</w:t>
      </w:r>
      <w:r>
        <w:rPr>
          <w:rFonts w:ascii="Times New Roman" w:hAnsi="Times New Roman" w:cs="Times New Roman"/>
          <w:color w:val="000000"/>
          <w:sz w:val="24"/>
        </w:rPr>
        <w:t xml:space="preserve"> </w:t>
      </w:r>
      <m:oMath>
        <m:sSub>
          <m:e>
            <m:r>
              <m:t>θ</m:t>
            </m:r>
          </m:e>
          <m:sub>
            <m:r>
              <m:t>e</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itself uniformly distributed and is independent of the wind direction</w:t>
      </w:r>
      <w:r>
        <w:rPr>
          <w:rFonts w:ascii="Times New Roman" w:hAnsi="Times New Roman" w:cs="Times New Roman"/>
          <w:color w:val="000000"/>
          <w:sz w:val="24"/>
        </w:rPr>
        <w:t xml:space="preserve"> </w:t>
      </w:r>
      <m:oMath>
        <m:sSub>
          <m:e>
            <m:r>
              <m:t>θ</m:t>
            </m:r>
          </m:e>
          <m:sub>
            <m:r>
              <m:t>w</m:t>
            </m:r>
          </m:sub>
        </m:sSub>
      </m:oMath>
      <w:r>
        <w:rPr>
          <w:rFonts w:ascii="Times New Roman" w:hAnsi="Times New Roman" w:cs="Times New Roman"/>
          <w:color w:val="000000"/>
          <w:sz w:val="24"/>
        </w:rPr>
        <w:t xml:space="preserve">, the joint distribution of the relevant</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misalignment angle</w:t>
      </w:r>
      <w:r>
        <w:rPr>
          <w:rFonts w:ascii="Times New Roman" w:hAnsi="Times New Roman" w:cs="Times New Roman"/>
          <w:color w:val="000000"/>
          <w:sz w:val="24"/>
        </w:rPr>
        <w:t xml:space="preserve"> </w:t>
      </w:r>
      <m:oMath>
        <m:r>
          <m:rPr>
            <m:sty m:val="p"/>
          </m:rPr>
          <m:t>(</m:t>
        </m:r>
        <m:sSub>
          <m:e>
            <m:r>
              <m:t>θ</m:t>
            </m:r>
          </m:e>
          <m:sub>
            <m:r>
              <m:t>w</m:t>
            </m:r>
          </m:sub>
        </m:sSub>
        <m:r>
          <m:rPr>
            <m:sty m:val="p"/>
          </m:rPr>
          <m:t>−</m:t>
        </m:r>
        <m:sSub>
          <m:e>
            <m:r>
              <m:t>θ</m:t>
            </m:r>
          </m:e>
          <m:sub>
            <m:r>
              <m:t>e</m:t>
            </m:r>
          </m:sub>
        </m:sSub>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is also uniform, and can be averaged over before the SAF integral, leaving no residual dependence on the marginal</w:t>
      </w:r>
      <w:r>
        <w:rPr>
          <w:rFonts w:ascii="Times New Roman" w:hAnsi="Times New Roman" w:cs="Times New Roman"/>
          <w:color w:val="000000"/>
          <w:sz w:val="24"/>
        </w:rPr>
        <w:t xml:space="preserve"> </w:t>
      </w:r>
      <m:oMath>
        <m:r>
          <m:t>p</m:t>
        </m:r>
        <m:r>
          <m:rPr>
            <m:sty m:val="p"/>
          </m:rPr>
          <m:t>(</m:t>
        </m:r>
        <m:sSub>
          <m:e>
            <m:r>
              <m:t>θ</m:t>
            </m:r>
          </m:e>
          <m:sub>
            <m:r>
              <m:t>w</m:t>
            </m:r>
          </m:sub>
        </m:sSub>
        <m:r>
          <m:rPr>
            <m:sty m:val="p"/>
          </m:rPr>
          <m:t>)</m:t>
        </m:r>
      </m:oMath>
      <w:r>
        <w:rPr>
          <w:rFonts w:ascii="Times New Roman" w:hAnsi="Times New Roman" w:cs="Times New Roman"/>
          <w:color w:val="000000"/>
          <w:sz w:val="24"/>
        </w:rPr>
        <w:t xml:space="preserve">. Numerically, the 5th-, 50th- and 95th-percentile of</w:t>
      </w:r>
      <w:r>
        <w:rPr>
          <w:rFonts w:ascii="Times New Roman" w:hAnsi="Times New Roman" w:cs="Times New Roman"/>
          <w:color w:val="000000"/>
          <w:sz w:val="24"/>
        </w:rPr>
        <w:t xml:space="preserve"> </w:t>
      </w:r>
      <m:oMath>
        <m:r>
          <m:t>ρ</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vary by less than 0.3 % across the three wind distributions tested (Table 1; Figure 3). The consequence for practice — that</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cavity-geometry tomography</w:t>
      </w:r>
      <w:r>
        <w:rPr>
          <w:rFonts w:ascii="Times New Roman" w:hAnsi="Times New Roman" w:cs="Times New Roman"/>
          <w:color w:val="000000"/>
          <w:sz w:val="24"/>
        </w:rPr>
        <w:t xml:space="preserve">, not site-specific wind-rose data, is the dominant input for eccentric-decay risk assessment — is discussed in Section 4.1.</w:t>
      </w:r>
    </w:p>
    <w:bookmarkEnd w:id="25"/>
    <w:bookmarkStart w:id="26" w:name="absolute-life-anchoring"/>
    <w:p>
      <w:pPr>
        <w:pStyle w:val="Heading3"/>
        <w:spacing w:line="480" w:lineRule="auto"/>
      </w:pPr>
      <w:r>
        <w:rPr>
          <w:rFonts w:ascii="Times New Roman" w:hAnsi="Times New Roman" w:cs="Times New Roman"/>
          <w:b/>
          <w:color w:val="000000"/>
          <w:sz w:val="24"/>
        </w:rPr>
        <w:t xml:space="preserve">3.5 Absolute-life anchoring</w:t>
      </w:r>
    </w:p>
    <w:p>
      <w:pPr>
        <w:pStyle w:val="FirstParagraph"/>
        <w:spacing w:line="480" w:lineRule="auto"/>
      </w:pPr>
      <w:r>
        <w:rPr>
          <w:rFonts w:ascii="Times New Roman" w:hAnsi="Times New Roman" w:cs="Times New Roman"/>
          <w:color w:val="000000"/>
          <w:sz w:val="24"/>
        </w:rPr>
        <w:t xml:space="preserve">Multiplying the life-ratio samples by the Paper I concentric anchor produces absolute-year distributions (Table 2; Figures 7 and 8). For Seoul,</w:t>
      </w:r>
      <w:r>
        <w:rPr>
          <w:rFonts w:ascii="Times New Roman" w:hAnsi="Times New Roman" w:cs="Times New Roman"/>
          <w:color w:val="000000"/>
          <w:sz w:val="24"/>
        </w:rPr>
        <w:t xml:space="preserve"> </w:t>
      </w:r>
      <m:oMath>
        <m:r>
          <m:t>H</m:t>
        </m:r>
        <m:r>
          <m:rPr>
            <m:sty m:val="p"/>
          </m:rPr>
          <m:t>=</m:t>
        </m:r>
        <m:r>
          <m:t>8</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m, DBH</w:t>
      </w:r>
      <w:r>
        <w:rPr>
          <w:rFonts w:ascii="Times New Roman" w:hAnsi="Times New Roman" w:cs="Times New Roman"/>
          <w:color w:val="000000"/>
          <w:sz w:val="24"/>
        </w:rPr>
        <w:t xml:space="preserve"> </w:t>
      </w:r>
      <m:oMath>
        <m:r>
          <m:rPr>
            <m:sty m:val="p"/>
          </m:rPr>
          <m:t>=</m:t>
        </m:r>
        <m:r>
          <m:t>20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cm ginkgo under lower-bound S-N, the median eccentric-decay sample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has a fatigue life of 10.5 years (compared with the concentric estimate of 25.5 years), and 21 % of samples have lives shorter than 5 years. At the Mattheck threshold</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the median sample has a 5-month life (0.42 yr); 100 % of samples are below the 5-year inspection threshold; the 5th-percentile tail is at 13 days. Figure 9 plots the fraction of samples below several inspection-cycle thresholds versus</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 providing direct policy guidance.</w:t>
      </w:r>
    </w:p>
    <w:p>
      <w:pPr>
        <w:pStyle w:val="BodyText"/>
        <w:spacing w:line="480" w:lineRule="auto"/>
      </w:pPr>
      <w:r>
        <w:rPr>
          <w:rFonts w:ascii="Times New Roman" w:hAnsi="Times New Roman" w:cs="Times New Roman"/>
          <w:b/>
          <w:bCs/>
          <w:color w:val="000000"/>
          <w:sz w:val="24"/>
        </w:rPr>
        <w:t xml:space="preserve">Table 2.</w:t>
      </w:r>
      <w:r>
        <w:rPr>
          <w:rFonts w:ascii="Times New Roman" w:hAnsi="Times New Roman" w:cs="Times New Roman"/>
          <w:color w:val="000000"/>
          <w:sz w:val="24"/>
        </w:rPr>
        <w:t xml:space="preserve"> </w:t>
      </w:r>
      <w:r>
        <w:rPr>
          <w:rFonts w:ascii="Times New Roman" w:hAnsi="Times New Roman" w:cs="Times New Roman"/>
          <w:color w:val="000000"/>
          <w:sz w:val="24"/>
        </w:rPr>
        <w:t xml:space="preserve">Absolute fatigue life [yr], Seoul,</w:t>
      </w:r>
      <w:r>
        <w:rPr>
          <w:rFonts w:ascii="Times New Roman" w:hAnsi="Times New Roman" w:cs="Times New Roman"/>
          <w:color w:val="000000"/>
          <w:sz w:val="24"/>
        </w:rPr>
        <w:t xml:space="preserve"> </w:t>
      </w:r>
      <m:oMath>
        <m:r>
          <m:t>H</m:t>
        </m:r>
        <m:r>
          <m:rPr>
            <m:sty m:val="p"/>
          </m:rPr>
          <m:t>=</m:t>
        </m:r>
        <m:r>
          <m:t>8</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m, DBH</w:t>
      </w:r>
      <w:r>
        <w:rPr>
          <w:rFonts w:ascii="Times New Roman" w:hAnsi="Times New Roman" w:cs="Times New Roman"/>
          <w:color w:val="000000"/>
          <w:sz w:val="24"/>
        </w:rPr>
        <w:t xml:space="preserve"> </w:t>
      </w:r>
      <m:oMath>
        <m:r>
          <m:rPr>
            <m:sty m:val="p"/>
          </m:rPr>
          <m:t>=</m:t>
        </m:r>
        <m:r>
          <m:t>20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cm ginkgo.</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T_conc</w:t>
      </w:r>
      <w:r>
        <w:rPr>
          <w:rFonts w:ascii="Times New Roman" w:hAnsi="Times New Roman" w:cs="Times New Roman"/>
          <w:color w:val="000000"/>
          <w:sz w:val="24"/>
        </w:rPr>
        <w:t xml:space="preserve"> </w:t>
      </w:r>
      <w:r>
        <w:rPr>
          <w:rFonts w:ascii="Times New Roman" w:hAnsi="Times New Roman" w:cs="Times New Roman"/>
          <w:color w:val="000000"/>
          <w:sz w:val="24"/>
        </w:rPr>
        <w:t xml:space="preserve">is Paper I Table 2;</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T_p5</w:t>
      </w:r>
      <w:r>
        <w:rPr>
          <w:rFonts w:ascii="Times New Roman" w:hAnsi="Times New Roman" w:cs="Times New Roman"/>
          <w:color w:val="000000"/>
          <w:sz w:val="24"/>
        </w:rPr>
        <w:t xml:space="preserv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T_p50</w:t>
      </w:r>
      <w:r>
        <w:rPr>
          <w:rFonts w:ascii="Times New Roman" w:hAnsi="Times New Roman" w:cs="Times New Roman"/>
          <w:color w:val="000000"/>
          <w:sz w:val="24"/>
        </w:rPr>
        <w:t xml:space="preserv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T_p95</w:t>
      </w:r>
      <w:r>
        <w:rPr>
          <w:rFonts w:ascii="Times New Roman" w:hAnsi="Times New Roman" w:cs="Times New Roman"/>
          <w:color w:val="000000"/>
          <w:sz w:val="24"/>
        </w:rPr>
        <w:t xml:space="preserve"> </w:t>
      </w:r>
      <w:r>
        <w:rPr>
          <w:rFonts w:ascii="Times New Roman" w:hAnsi="Times New Roman" w:cs="Times New Roman"/>
          <w:color w:val="000000"/>
          <w:sz w:val="24"/>
        </w:rPr>
        <w:t xml:space="preserve">are eccentric Monte Carlo samples;</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frac &lt; 5 yr</w:t>
      </w:r>
      <w:r>
        <w:rPr>
          <w:rFonts w:ascii="Times New Roman" w:hAnsi="Times New Roman" w:cs="Times New Roman"/>
          <w:color w:val="000000"/>
          <w:sz w:val="24"/>
        </w:rPr>
        <w:t xml:space="preserve"> </w:t>
      </w:r>
      <w:r>
        <w:rPr>
          <w:rFonts w:ascii="Times New Roman" w:hAnsi="Times New Roman" w:cs="Times New Roman"/>
          <w:color w:val="000000"/>
          <w:sz w:val="24"/>
        </w:rPr>
        <w:t xml:space="preserve">is the proportion of samples below a 5-year inspection cycle.</w:t>
      </w:r>
    </w:p>
    <w:tbl>
      <w:tblPr>
        <w:tblStyle w:val="Table"/>
        <w:tblW w:type="pct" w:w="5000"/>
        <w:tblLayout w:type="fixed"/>
        <w:tblLook w:firstRow="1" w:lastRow="0" w:firstColumn="0" w:lastColumn="0" w:noHBand="0" w:noVBand="0" w:val="0020"/>
      </w:tblPr>
      <w:tblGrid>
        <w:gridCol w:w="990"/>
        <w:gridCol w:w="2103"/>
        <w:gridCol w:w="990"/>
        <w:gridCol w:w="1113"/>
        <w:gridCol w:w="1113"/>
        <w:gridCol w:w="1608"/>
      </w:tblGrid>
      <w:tr>
        <w:trPr>
          <w:tblHeader w:val="on"/>
        </w:trPr>
        <w:tc>
          <w:tcPr/>
          <w:p>
            <w:pPr>
              <w:pStyle w:val="Compact"/>
              <w:spacing w:line="240" w:lineRule="auto"/>
            </w:pPr>
            <m:oMath>
              <m:sSub>
                <m:e>
                  <m:r>
                    <m:t>r</m:t>
                  </m:r>
                </m:e>
                <m:sub>
                  <m:r>
                    <m:t>d</m:t>
                  </m:r>
                </m:sub>
              </m:sSub>
              <m:r>
                <m:rPr>
                  <m:sty m:val="p"/>
                </m:rPr>
                <m:t>/</m:t>
              </m:r>
              <m:r>
                <m:t>R</m:t>
              </m:r>
            </m:oMath>
          </w:p>
        </w:tc>
        <w:tc>
          <w:tcPr/>
          <w:p>
            <w:pPr>
              <w:pStyle w:val="Compact"/>
              <w:spacing w:line="240" w:lineRule="auto"/>
            </w:pPr>
            <m:oMath>
              <m:sSub>
                <m:e>
                  <m:r>
                    <m:t>T</m:t>
                  </m:r>
                </m:e>
                <m:sub>
                  <m:r>
                    <m:rPr>
                      <m:nor/>
                      <m:sty m:val="p"/>
                    </m:rPr>
                    <m:t>conc</m:t>
                  </m:r>
                </m:sub>
              </m:sSub>
            </m:oMath>
          </w:p>
        </w:tc>
        <w:tc>
          <w:tcPr/>
          <w:p>
            <w:pPr>
              <w:pStyle w:val="Compact"/>
              <w:spacing w:line="240" w:lineRule="auto"/>
            </w:pPr>
            <m:oMath>
              <m:sSub>
                <m:e>
                  <m:r>
                    <m:t>T</m:t>
                  </m:r>
                </m:e>
                <m:sub>
                  <m:r>
                    <m:t>p</m:t>
                  </m:r>
                  <m:r>
                    <m:t>5</m:t>
                  </m:r>
                </m:sub>
              </m:sSub>
            </m:oMath>
          </w:p>
        </w:tc>
        <w:tc>
          <w:tcPr/>
          <w:p>
            <w:pPr>
              <w:pStyle w:val="Compact"/>
              <w:spacing w:line="240" w:lineRule="auto"/>
            </w:pPr>
            <m:oMath>
              <m:sSub>
                <m:e>
                  <m:r>
                    <m:t>T</m:t>
                  </m:r>
                </m:e>
                <m:sub>
                  <m:r>
                    <m:t>p</m:t>
                  </m:r>
                  <m:r>
                    <m:t>50</m:t>
                  </m:r>
                </m:sub>
              </m:sSub>
            </m:oMath>
          </w:p>
        </w:tc>
        <w:tc>
          <w:tcPr/>
          <w:p>
            <w:pPr>
              <w:pStyle w:val="Compact"/>
              <w:spacing w:line="240" w:lineRule="auto"/>
            </w:pPr>
            <m:oMath>
              <m:sSub>
                <m:e>
                  <m:r>
                    <m:t>T</m:t>
                  </m:r>
                </m:e>
                <m:sub>
                  <m:r>
                    <m:t>p</m:t>
                  </m:r>
                  <m:r>
                    <m:t>95</m:t>
                  </m:r>
                </m:sub>
              </m:sSub>
            </m:oMath>
          </w:p>
        </w:tc>
        <w:tc>
          <w:tcPr/>
          <w:p>
            <w:pPr>
              <w:pStyle w:val="Compact"/>
              <w:spacing w:line="240" w:lineRule="auto"/>
            </w:pPr>
            <w:r>
              <w:rPr>
                <w:rFonts w:ascii="Times New Roman" w:hAnsi="Times New Roman"/>
                <w:color w:val="000000"/>
              </w:rPr>
              <w:t xml:space="preserve">frac</w:t>
            </w:r>
            <w:r>
              <w:rPr>
                <w:rFonts w:ascii="Times New Roman" w:hAnsi="Times New Roman"/>
                <w:color w:val="000000"/>
              </w:rPr>
              <w:t xml:space="preserve"> </w:t>
            </w:r>
            <m:oMath>
              <m:r>
                <m:rPr>
                  <m:sty m:val="p"/>
                </m:rPr>
                <m:t>&lt;</m:t>
              </m:r>
              <m:r>
                <m:t>5</m:t>
              </m:r>
            </m:oMath>
            <w:r>
              <w:rPr>
                <w:rFonts w:ascii="Times New Roman" w:hAnsi="Times New Roman"/>
                <w:color w:val="000000"/>
              </w:rPr>
              <w:t xml:space="preserve"> </w:t>
            </w:r>
            <w:r>
              <w:rPr>
                <w:rFonts w:ascii="Times New Roman" w:hAnsi="Times New Roman"/>
                <w:color w:val="000000"/>
              </w:rPr>
              <w:t xml:space="preserve">yr</w:t>
            </w:r>
          </w:p>
        </w:tc>
      </w:tr>
      <w:tr>
        <w:tc>
          <w:tcPr/>
          <w:p>
            <w:pPr>
              <w:pStyle w:val="Compact"/>
              <w:spacing w:line="240" w:lineRule="auto"/>
            </w:pPr>
            <w:r>
              <w:rPr>
                <w:rFonts w:ascii="Times New Roman" w:hAnsi="Times New Roman"/>
                <w:b/>
                <w:bCs/>
                <w:color w:val="000000"/>
              </w:rPr>
              <w:t xml:space="preserve">Lower-bound S-N</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color w:val="000000"/>
              </w:rPr>
              <w:t xml:space="preserve">0.30</w:t>
            </w:r>
          </w:p>
        </w:tc>
        <w:tc>
          <w:tcPr/>
          <w:p>
            <w:pPr>
              <w:pStyle w:val="Compact"/>
              <w:spacing w:line="240" w:lineRule="auto"/>
            </w:pPr>
            <w:r>
              <w:rPr>
                <w:rFonts w:ascii="Times New Roman" w:hAnsi="Times New Roman"/>
                <w:color w:val="000000"/>
              </w:rPr>
              <w:t xml:space="preserve">53.2</w:t>
            </w:r>
          </w:p>
        </w:tc>
        <w:tc>
          <w:tcPr/>
          <w:p>
            <w:pPr>
              <w:pStyle w:val="Compact"/>
              <w:spacing w:line="240" w:lineRule="auto"/>
            </w:pPr>
            <w:r>
              <w:rPr>
                <w:rFonts w:ascii="Times New Roman" w:hAnsi="Times New Roman"/>
                <w:color w:val="000000"/>
              </w:rPr>
              <w:t xml:space="preserve">18.1</w:t>
            </w:r>
          </w:p>
        </w:tc>
        <w:tc>
          <w:tcPr/>
          <w:p>
            <w:pPr>
              <w:pStyle w:val="Compact"/>
              <w:spacing w:line="240" w:lineRule="auto"/>
            </w:pPr>
            <w:r>
              <w:rPr>
                <w:rFonts w:ascii="Times New Roman" w:hAnsi="Times New Roman"/>
                <w:color w:val="000000"/>
              </w:rPr>
              <w:t xml:space="preserve">35.7</w:t>
            </w:r>
          </w:p>
        </w:tc>
        <w:tc>
          <w:tcPr/>
          <w:p>
            <w:pPr>
              <w:pStyle w:val="Compact"/>
              <w:spacing w:line="240" w:lineRule="auto"/>
            </w:pPr>
            <w:r>
              <w:rPr>
                <w:rFonts w:ascii="Times New Roman" w:hAnsi="Times New Roman"/>
                <w:color w:val="000000"/>
              </w:rPr>
              <w:t xml:space="preserve">50.1</w:t>
            </w:r>
          </w:p>
        </w:tc>
        <w:tc>
          <w:tcPr/>
          <w:p>
            <w:pPr>
              <w:pStyle w:val="Compact"/>
              <w:spacing w:line="240" w:lineRule="auto"/>
            </w:pPr>
            <w:r>
              <w:rPr>
                <w:rFonts w:ascii="Times New Roman" w:hAnsi="Times New Roman"/>
                <w:color w:val="000000"/>
              </w:rPr>
              <w:t xml:space="preserve">0 %</w:t>
            </w:r>
          </w:p>
        </w:tc>
      </w:tr>
      <w:tr>
        <w:tc>
          <w:tcPr/>
          <w:p>
            <w:pPr>
              <w:pStyle w:val="Compact"/>
              <w:spacing w:line="240" w:lineRule="auto"/>
            </w:pPr>
            <w:r>
              <w:rPr>
                <w:rFonts w:ascii="Times New Roman" w:hAnsi="Times New Roman"/>
                <w:color w:val="000000"/>
              </w:rPr>
              <w:t xml:space="preserve">0.50</w:t>
            </w:r>
          </w:p>
        </w:tc>
        <w:tc>
          <w:tcPr/>
          <w:p>
            <w:pPr>
              <w:pStyle w:val="Compact"/>
              <w:spacing w:line="240" w:lineRule="auto"/>
            </w:pPr>
            <w:r>
              <w:rPr>
                <w:rFonts w:ascii="Times New Roman" w:hAnsi="Times New Roman"/>
                <w:color w:val="000000"/>
              </w:rPr>
              <w:t xml:space="preserve">25.5</w:t>
            </w:r>
          </w:p>
        </w:tc>
        <w:tc>
          <w:tcPr/>
          <w:p>
            <w:pPr>
              <w:pStyle w:val="Compact"/>
              <w:spacing w:line="240" w:lineRule="auto"/>
            </w:pPr>
            <w:r>
              <w:rPr>
                <w:rFonts w:ascii="Times New Roman" w:hAnsi="Times New Roman"/>
                <w:color w:val="000000"/>
              </w:rPr>
              <w:t xml:space="preserve">2.1</w:t>
            </w:r>
          </w:p>
        </w:tc>
        <w:tc>
          <w:tcPr/>
          <w:p>
            <w:pPr>
              <w:pStyle w:val="Compact"/>
              <w:spacing w:line="240" w:lineRule="auto"/>
            </w:pPr>
            <w:r>
              <w:rPr>
                <w:rFonts w:ascii="Times New Roman" w:hAnsi="Times New Roman"/>
                <w:color w:val="000000"/>
              </w:rPr>
              <w:t xml:space="preserve">10.5</w:t>
            </w:r>
          </w:p>
        </w:tc>
        <w:tc>
          <w:tcPr/>
          <w:p>
            <w:pPr>
              <w:pStyle w:val="Compact"/>
              <w:spacing w:line="240" w:lineRule="auto"/>
            </w:pPr>
            <w:r>
              <w:rPr>
                <w:rFonts w:ascii="Times New Roman" w:hAnsi="Times New Roman"/>
                <w:color w:val="000000"/>
              </w:rPr>
              <w:t xml:space="preserve">22.1</w:t>
            </w:r>
          </w:p>
        </w:tc>
        <w:tc>
          <w:tcPr/>
          <w:p>
            <w:pPr>
              <w:pStyle w:val="Compact"/>
              <w:spacing w:line="240" w:lineRule="auto"/>
            </w:pPr>
            <w:r>
              <w:rPr>
                <w:rFonts w:ascii="Times New Roman" w:hAnsi="Times New Roman"/>
                <w:b/>
                <w:bCs/>
                <w:color w:val="000000"/>
              </w:rPr>
              <w:t xml:space="preserve">21 %</w:t>
            </w:r>
          </w:p>
        </w:tc>
      </w:tr>
      <w:tr>
        <w:tc>
          <w:tcPr/>
          <w:p>
            <w:pPr>
              <w:pStyle w:val="Compact"/>
              <w:spacing w:line="240" w:lineRule="auto"/>
            </w:pPr>
            <w:r>
              <w:rPr>
                <w:rFonts w:ascii="Times New Roman" w:hAnsi="Times New Roman"/>
                <w:color w:val="000000"/>
              </w:rPr>
              <w:t xml:space="preserve">0.60</w:t>
            </w:r>
          </w:p>
        </w:tc>
        <w:tc>
          <w:tcPr/>
          <w:p>
            <w:pPr>
              <w:pStyle w:val="Compact"/>
              <w:spacing w:line="240" w:lineRule="auto"/>
            </w:pPr>
            <w:r>
              <w:rPr>
                <w:rFonts w:ascii="Times New Roman" w:hAnsi="Times New Roman"/>
                <w:color w:val="000000"/>
              </w:rPr>
              <w:t xml:space="preserve">9.5</w:t>
            </w:r>
          </w:p>
        </w:tc>
        <w:tc>
          <w:tcPr/>
          <w:p>
            <w:pPr>
              <w:pStyle w:val="Compact"/>
              <w:spacing w:line="240" w:lineRule="auto"/>
            </w:pPr>
            <w:r>
              <w:rPr>
                <w:rFonts w:ascii="Times New Roman" w:hAnsi="Times New Roman"/>
                <w:color w:val="000000"/>
              </w:rPr>
              <w:t xml:space="preserve">0.40</w:t>
            </w:r>
          </w:p>
        </w:tc>
        <w:tc>
          <w:tcPr/>
          <w:p>
            <w:pPr>
              <w:pStyle w:val="Compact"/>
              <w:spacing w:line="240" w:lineRule="auto"/>
            </w:pPr>
            <w:r>
              <w:rPr>
                <w:rFonts w:ascii="Times New Roman" w:hAnsi="Times New Roman"/>
                <w:color w:val="000000"/>
              </w:rPr>
              <w:t xml:space="preserve">3.1</w:t>
            </w:r>
          </w:p>
        </w:tc>
        <w:tc>
          <w:tcPr/>
          <w:p>
            <w:pPr>
              <w:pStyle w:val="Compact"/>
              <w:spacing w:line="240" w:lineRule="auto"/>
            </w:pPr>
            <w:r>
              <w:rPr>
                <w:rFonts w:ascii="Times New Roman" w:hAnsi="Times New Roman"/>
                <w:color w:val="000000"/>
              </w:rPr>
              <w:t xml:space="preserve">7.8</w:t>
            </w:r>
          </w:p>
        </w:tc>
        <w:tc>
          <w:tcPr/>
          <w:p>
            <w:pPr>
              <w:pStyle w:val="Compact"/>
              <w:spacing w:line="240" w:lineRule="auto"/>
            </w:pPr>
            <w:r>
              <w:rPr>
                <w:rFonts w:ascii="Times New Roman" w:hAnsi="Times New Roman"/>
                <w:b/>
                <w:bCs/>
                <w:color w:val="000000"/>
              </w:rPr>
              <w:t xml:space="preserve">72 %</w:t>
            </w:r>
          </w:p>
        </w:tc>
      </w:tr>
      <w:tr>
        <w:tc>
          <w:tcPr/>
          <w:p>
            <w:pPr>
              <w:pStyle w:val="Compact"/>
              <w:spacing w:line="240" w:lineRule="auto"/>
            </w:pPr>
            <w:r>
              <w:rPr>
                <w:rFonts w:ascii="Times New Roman" w:hAnsi="Times New Roman"/>
                <w:color w:val="000000"/>
              </w:rPr>
              <w:t xml:space="preserve">0.70</w:t>
            </w:r>
          </w:p>
        </w:tc>
        <w:tc>
          <w:tcPr/>
          <w:p>
            <w:pPr>
              <w:pStyle w:val="Compact"/>
              <w:spacing w:line="240" w:lineRule="auto"/>
            </w:pPr>
            <w:r>
              <w:rPr>
                <w:rFonts w:ascii="Times New Roman" w:hAnsi="Times New Roman"/>
                <w:color w:val="000000"/>
              </w:rPr>
              <w:t xml:space="preserve">1.7</w:t>
            </w:r>
          </w:p>
        </w:tc>
        <w:tc>
          <w:tcPr/>
          <w:p>
            <w:pPr>
              <w:pStyle w:val="Compact"/>
              <w:spacing w:line="240" w:lineRule="auto"/>
            </w:pPr>
            <w:r>
              <w:rPr>
                <w:rFonts w:ascii="Times New Roman" w:hAnsi="Times New Roman"/>
                <w:color w:val="000000"/>
              </w:rPr>
              <w:t xml:space="preserve">0.04</w:t>
            </w:r>
          </w:p>
        </w:tc>
        <w:tc>
          <w:tcPr/>
          <w:p>
            <w:pPr>
              <w:pStyle w:val="Compact"/>
              <w:spacing w:line="240" w:lineRule="auto"/>
            </w:pPr>
            <w:r>
              <w:rPr>
                <w:rFonts w:ascii="Times New Roman" w:hAnsi="Times New Roman"/>
                <w:color w:val="000000"/>
              </w:rPr>
              <w:t xml:space="preserve">0.42</w:t>
            </w:r>
          </w:p>
        </w:tc>
        <w:tc>
          <w:tcPr/>
          <w:p>
            <w:pPr>
              <w:pStyle w:val="Compact"/>
              <w:spacing w:line="240" w:lineRule="auto"/>
            </w:pPr>
            <w:r>
              <w:rPr>
                <w:rFonts w:ascii="Times New Roman" w:hAnsi="Times New Roman"/>
                <w:color w:val="000000"/>
              </w:rPr>
              <w:t xml:space="preserve">1.3</w:t>
            </w:r>
          </w:p>
        </w:tc>
        <w:tc>
          <w:tcPr/>
          <w:p>
            <w:pPr>
              <w:pStyle w:val="Compact"/>
              <w:spacing w:line="240" w:lineRule="auto"/>
            </w:pPr>
            <w:r>
              <w:rPr>
                <w:rFonts w:ascii="Times New Roman" w:hAnsi="Times New Roman"/>
                <w:b/>
                <w:bCs/>
                <w:color w:val="000000"/>
              </w:rPr>
              <w:t xml:space="preserve">100 %</w:t>
            </w:r>
          </w:p>
        </w:tc>
      </w:tr>
      <w:tr>
        <w:tc>
          <w:tcPr/>
          <w:p>
            <w:pPr>
              <w:pStyle w:val="Compact"/>
              <w:spacing w:line="240" w:lineRule="auto"/>
            </w:pPr>
            <w:r>
              <w:rPr>
                <w:rFonts w:ascii="Times New Roman" w:hAnsi="Times New Roman"/>
                <w:color w:val="000000"/>
              </w:rPr>
              <w:t xml:space="preserve">0.80</w:t>
            </w:r>
          </w:p>
        </w:tc>
        <w:tc>
          <w:tcPr/>
          <w:p>
            <w:pPr>
              <w:pStyle w:val="Compact"/>
              <w:spacing w:line="240" w:lineRule="auto"/>
            </w:pPr>
            <w:r>
              <w:rPr>
                <w:rFonts w:ascii="Times New Roman" w:hAnsi="Times New Roman"/>
                <w:color w:val="000000"/>
              </w:rPr>
              <w:t xml:space="preserve">0.1</w:t>
            </w:r>
          </w:p>
        </w:tc>
        <w:tc>
          <w:tcPr/>
          <w:p>
            <w:pPr>
              <w:pStyle w:val="Compact"/>
              <w:spacing w:line="240" w:lineRule="auto"/>
            </w:pPr>
            <w:r>
              <w:rPr>
                <w:rFonts w:ascii="Times New Roman" w:hAnsi="Times New Roman"/>
                <w:color w:val="000000"/>
              </w:rPr>
              <w:t xml:space="preserve">0.001</w:t>
            </w:r>
          </w:p>
        </w:tc>
        <w:tc>
          <w:tcPr/>
          <w:p>
            <w:pPr>
              <w:pStyle w:val="Compact"/>
              <w:spacing w:line="240" w:lineRule="auto"/>
            </w:pPr>
            <w:r>
              <w:rPr>
                <w:rFonts w:ascii="Times New Roman" w:hAnsi="Times New Roman"/>
                <w:color w:val="000000"/>
              </w:rPr>
              <w:t xml:space="preserve">0.02</w:t>
            </w:r>
          </w:p>
        </w:tc>
        <w:tc>
          <w:tcPr/>
          <w:p>
            <w:pPr>
              <w:pStyle w:val="Compact"/>
              <w:spacing w:line="240" w:lineRule="auto"/>
            </w:pPr>
            <w:r>
              <w:rPr>
                <w:rFonts w:ascii="Times New Roman" w:hAnsi="Times New Roman"/>
                <w:color w:val="000000"/>
              </w:rPr>
              <w:t xml:space="preserve">0.075</w:t>
            </w:r>
          </w:p>
        </w:tc>
        <w:tc>
          <w:tcPr/>
          <w:p>
            <w:pPr>
              <w:pStyle w:val="Compact"/>
              <w:spacing w:line="240" w:lineRule="auto"/>
            </w:pPr>
            <w:r>
              <w:rPr>
                <w:rFonts w:ascii="Times New Roman" w:hAnsi="Times New Roman"/>
                <w:color w:val="000000"/>
              </w:rPr>
              <w:t xml:space="preserve">100 %</w:t>
            </w:r>
          </w:p>
        </w:tc>
      </w:tr>
      <w:tr>
        <w:tc>
          <w:tcPr/>
          <w:p>
            <w:pPr>
              <w:pStyle w:val="Compact"/>
              <w:spacing w:line="240" w:lineRule="auto"/>
            </w:pPr>
            <w:r>
              <w:rPr>
                <w:rFonts w:ascii="Times New Roman" w:hAnsi="Times New Roman"/>
                <w:b/>
                <w:bCs/>
                <w:color w:val="000000"/>
              </w:rPr>
              <w:t xml:space="preserve">Mean S-N</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pPr>
          </w:p>
        </w:tc>
      </w:tr>
      <w:tr>
        <w:tc>
          <w:tcPr/>
          <w:p>
            <w:pPr>
              <w:pStyle w:val="Compact"/>
              <w:spacing w:line="240" w:lineRule="auto"/>
            </w:pPr>
            <w:r>
              <w:rPr>
                <w:rFonts w:ascii="Times New Roman" w:hAnsi="Times New Roman"/>
                <w:color w:val="000000"/>
              </w:rPr>
              <w:t xml:space="preserve">0.50</w:t>
            </w:r>
          </w:p>
        </w:tc>
        <w:tc>
          <w:tcPr/>
          <w:p>
            <w:pPr>
              <w:pStyle w:val="Compact"/>
              <w:spacing w:line="240" w:lineRule="auto"/>
            </w:pPr>
            <w:r>
              <w:rPr>
                <w:rFonts w:ascii="Times New Roman" w:hAnsi="Times New Roman"/>
                <w:color w:val="000000"/>
              </w:rPr>
              <w:t xml:space="preserve">336</w:t>
            </w:r>
          </w:p>
        </w:tc>
        <w:tc>
          <w:tcPr/>
          <w:p>
            <w:pPr>
              <w:pStyle w:val="Compact"/>
              <w:spacing w:line="240" w:lineRule="auto"/>
            </w:pPr>
            <w:r>
              <w:rPr>
                <w:rFonts w:ascii="Times New Roman" w:hAnsi="Times New Roman"/>
                <w:color w:val="000000"/>
              </w:rPr>
              <w:t xml:space="preserve">13.3</w:t>
            </w:r>
          </w:p>
        </w:tc>
        <w:tc>
          <w:tcPr/>
          <w:p>
            <w:pPr>
              <w:pStyle w:val="Compact"/>
              <w:spacing w:line="240" w:lineRule="auto"/>
            </w:pPr>
            <w:r>
              <w:rPr>
                <w:rFonts w:ascii="Times New Roman" w:hAnsi="Times New Roman"/>
                <w:color w:val="000000"/>
              </w:rPr>
              <w:t xml:space="preserve">108</w:t>
            </w:r>
          </w:p>
        </w:tc>
        <w:tc>
          <w:tcPr/>
          <w:p>
            <w:pPr>
              <w:pStyle w:val="Compact"/>
              <w:spacing w:line="240" w:lineRule="auto"/>
            </w:pPr>
            <w:r>
              <w:rPr>
                <w:rFonts w:ascii="Times New Roman" w:hAnsi="Times New Roman"/>
                <w:color w:val="000000"/>
              </w:rPr>
              <w:t xml:space="preserve">280</w:t>
            </w:r>
          </w:p>
        </w:tc>
        <w:tc>
          <w:tcPr/>
          <w:p>
            <w:pPr>
              <w:pStyle w:val="Compact"/>
              <w:spacing w:line="240" w:lineRule="auto"/>
            </w:pPr>
            <w:r>
              <w:rPr>
                <w:rFonts w:ascii="Times New Roman" w:hAnsi="Times New Roman"/>
                <w:color w:val="000000"/>
              </w:rPr>
              <w:t xml:space="preserve">0.3 %</w:t>
            </w:r>
          </w:p>
        </w:tc>
      </w:tr>
      <w:tr>
        <w:tc>
          <w:tcPr/>
          <w:p>
            <w:pPr>
              <w:pStyle w:val="Compact"/>
              <w:spacing w:line="240" w:lineRule="auto"/>
            </w:pPr>
            <w:r>
              <w:rPr>
                <w:rFonts w:ascii="Times New Roman" w:hAnsi="Times New Roman"/>
                <w:color w:val="000000"/>
              </w:rPr>
              <w:t xml:space="preserve">0.60</w:t>
            </w:r>
          </w:p>
        </w:tc>
        <w:tc>
          <w:tcPr/>
          <w:p>
            <w:pPr>
              <w:pStyle w:val="Compact"/>
              <w:spacing w:line="240" w:lineRule="auto"/>
            </w:pPr>
            <w:r>
              <w:rPr>
                <w:rFonts w:ascii="Times New Roman" w:hAnsi="Times New Roman"/>
                <w:color w:val="000000"/>
              </w:rPr>
              <w:t xml:space="preserve">62</w:t>
            </w:r>
          </w:p>
        </w:tc>
        <w:tc>
          <w:tcPr/>
          <w:p>
            <w:pPr>
              <w:pStyle w:val="Compact"/>
              <w:spacing w:line="240" w:lineRule="auto"/>
            </w:pPr>
            <w:r>
              <w:rPr>
                <w:rFonts w:ascii="Times New Roman" w:hAnsi="Times New Roman"/>
                <w:color w:val="000000"/>
              </w:rPr>
              <w:t xml:space="preserve">1.0</w:t>
            </w:r>
          </w:p>
        </w:tc>
        <w:tc>
          <w:tcPr/>
          <w:p>
            <w:pPr>
              <w:pStyle w:val="Compact"/>
              <w:spacing w:line="240" w:lineRule="auto"/>
            </w:pPr>
            <w:r>
              <w:rPr>
                <w:rFonts w:ascii="Times New Roman" w:hAnsi="Times New Roman"/>
                <w:color w:val="000000"/>
              </w:rPr>
              <w:t xml:space="preserve">14.4</w:t>
            </w:r>
          </w:p>
        </w:tc>
        <w:tc>
          <w:tcPr/>
          <w:p>
            <w:pPr>
              <w:pStyle w:val="Compact"/>
              <w:spacing w:line="240" w:lineRule="auto"/>
            </w:pPr>
            <w:r>
              <w:rPr>
                <w:rFonts w:ascii="Times New Roman" w:hAnsi="Times New Roman"/>
                <w:color w:val="000000"/>
              </w:rPr>
              <w:t xml:space="preserve">48.7</w:t>
            </w:r>
          </w:p>
        </w:tc>
        <w:tc>
          <w:tcPr/>
          <w:p>
            <w:pPr>
              <w:pStyle w:val="Compact"/>
              <w:spacing w:line="240" w:lineRule="auto"/>
            </w:pPr>
            <w:r>
              <w:rPr>
                <w:rFonts w:ascii="Times New Roman" w:hAnsi="Times New Roman"/>
                <w:color w:val="000000"/>
              </w:rPr>
              <w:t xml:space="preserve">25 %</w:t>
            </w:r>
          </w:p>
        </w:tc>
      </w:tr>
      <w:tr>
        <w:tc>
          <w:tcPr/>
          <w:p>
            <w:pPr>
              <w:pStyle w:val="Compact"/>
              <w:spacing w:line="240" w:lineRule="auto"/>
            </w:pPr>
            <w:r>
              <w:rPr>
                <w:rFonts w:ascii="Times New Roman" w:hAnsi="Times New Roman"/>
                <w:color w:val="000000"/>
              </w:rPr>
              <w:t xml:space="preserve">0.70</w:t>
            </w:r>
          </w:p>
        </w:tc>
        <w:tc>
          <w:tcPr/>
          <w:p>
            <w:pPr>
              <w:pStyle w:val="Compact"/>
              <w:spacing w:line="240" w:lineRule="auto"/>
            </w:pPr>
            <w:r>
              <w:rPr>
                <w:rFonts w:ascii="Times New Roman" w:hAnsi="Times New Roman"/>
                <w:color w:val="000000"/>
              </w:rPr>
              <w:t xml:space="preserve">6.9</w:t>
            </w:r>
          </w:p>
        </w:tc>
        <w:tc>
          <w:tcPr/>
          <w:p>
            <w:pPr>
              <w:pStyle w:val="Compact"/>
              <w:spacing w:line="240" w:lineRule="auto"/>
            </w:pPr>
            <w:r>
              <w:rPr>
                <w:rFonts w:ascii="Times New Roman" w:hAnsi="Times New Roman"/>
                <w:color w:val="000000"/>
              </w:rPr>
              <w:t xml:space="preserve">0.05</w:t>
            </w:r>
          </w:p>
        </w:tc>
        <w:tc>
          <w:tcPr/>
          <w:p>
            <w:pPr>
              <w:pStyle w:val="Compact"/>
              <w:spacing w:line="240" w:lineRule="auto"/>
            </w:pPr>
            <w:r>
              <w:rPr>
                <w:rFonts w:ascii="Times New Roman" w:hAnsi="Times New Roman"/>
                <w:color w:val="000000"/>
              </w:rPr>
              <w:t xml:space="preserve">1.15</w:t>
            </w:r>
          </w:p>
        </w:tc>
        <w:tc>
          <w:tcPr/>
          <w:p>
            <w:pPr>
              <w:pStyle w:val="Compact"/>
              <w:spacing w:line="240" w:lineRule="auto"/>
            </w:pPr>
            <w:r>
              <w:rPr>
                <w:rFonts w:ascii="Times New Roman" w:hAnsi="Times New Roman"/>
                <w:color w:val="000000"/>
              </w:rPr>
              <w:t xml:space="preserve">5.0</w:t>
            </w:r>
          </w:p>
        </w:tc>
        <w:tc>
          <w:tcPr/>
          <w:p>
            <w:pPr>
              <w:pStyle w:val="Compact"/>
              <w:spacing w:line="240" w:lineRule="auto"/>
            </w:pPr>
            <w:r>
              <w:rPr>
                <w:rFonts w:ascii="Times New Roman" w:hAnsi="Times New Roman"/>
                <w:b/>
                <w:bCs/>
                <w:color w:val="000000"/>
              </w:rPr>
              <w:t xml:space="preserve">95 %</w:t>
            </w:r>
          </w:p>
        </w:tc>
      </w:tr>
      <w:tr>
        <w:tc>
          <w:tcPr/>
          <w:p>
            <w:pPr>
              <w:pStyle w:val="Compact"/>
              <w:spacing w:line="240" w:lineRule="auto"/>
            </w:pPr>
            <w:r>
              <w:rPr>
                <w:rFonts w:ascii="Times New Roman" w:hAnsi="Times New Roman"/>
                <w:color w:val="000000"/>
              </w:rPr>
              <w:t xml:space="preserve">0.80</w:t>
            </w:r>
          </w:p>
        </w:tc>
        <w:tc>
          <w:tcPr/>
          <w:p>
            <w:pPr>
              <w:pStyle w:val="Compact"/>
              <w:spacing w:line="240" w:lineRule="auto"/>
            </w:pPr>
            <w:r>
              <w:rPr>
                <w:rFonts w:ascii="Times New Roman" w:hAnsi="Times New Roman"/>
                <w:color w:val="000000"/>
              </w:rPr>
              <w:t xml:space="preserve">0.4</w:t>
            </w:r>
          </w:p>
        </w:tc>
        <w:tc>
          <w:tcPr/>
          <w:p>
            <w:pPr>
              <w:pStyle w:val="Compact"/>
              <w:spacing w:line="240" w:lineRule="auto"/>
            </w:pPr>
            <w:r>
              <w:rPr>
                <w:rFonts w:ascii="Times New Roman" w:hAnsi="Times New Roman"/>
                <w:color w:val="000000"/>
              </w:rPr>
              <w:t xml:space="preserve">0.001</w:t>
            </w:r>
          </w:p>
        </w:tc>
        <w:tc>
          <w:tcPr/>
          <w:p>
            <w:pPr>
              <w:pStyle w:val="Compact"/>
              <w:spacing w:line="240" w:lineRule="auto"/>
            </w:pPr>
            <w:r>
              <w:rPr>
                <w:rFonts w:ascii="Times New Roman" w:hAnsi="Times New Roman"/>
                <w:color w:val="000000"/>
              </w:rPr>
              <w:t xml:space="preserve">0.05</w:t>
            </w:r>
          </w:p>
        </w:tc>
        <w:tc>
          <w:tcPr/>
          <w:p>
            <w:pPr>
              <w:pStyle w:val="Compact"/>
              <w:spacing w:line="240" w:lineRule="auto"/>
            </w:pPr>
            <w:r>
              <w:rPr>
                <w:rFonts w:ascii="Times New Roman" w:hAnsi="Times New Roman"/>
                <w:color w:val="000000"/>
              </w:rPr>
              <w:t xml:space="preserve">0.28</w:t>
            </w:r>
          </w:p>
        </w:tc>
        <w:tc>
          <w:tcPr/>
          <w:p>
            <w:pPr>
              <w:pStyle w:val="Compact"/>
              <w:spacing w:line="240" w:lineRule="auto"/>
            </w:pPr>
            <w:r>
              <w:rPr>
                <w:rFonts w:ascii="Times New Roman" w:hAnsi="Times New Roman"/>
                <w:color w:val="000000"/>
              </w:rPr>
              <w:t xml:space="preserve">100 %</w:t>
            </w:r>
          </w:p>
        </w:tc>
      </w:tr>
    </w:tbl>
    <w:bookmarkEnd w:id="26"/>
    <w:bookmarkStart w:id="27" w:name="X4a0e31a6f8ebfbacc3fdf382a28e9eb83c2d972"/>
    <w:p>
      <w:pPr>
        <w:pStyle w:val="Heading3"/>
        <w:spacing w:line="480" w:lineRule="auto"/>
      </w:pPr>
      <w:r>
        <w:rPr>
          <w:rFonts w:ascii="Times New Roman" w:hAnsi="Times New Roman" w:cs="Times New Roman"/>
          <w:b/>
          <w:color w:val="000000"/>
          <w:sz w:val="24"/>
        </w:rPr>
        <w:t xml:space="preserve">3.6 Sensitivity to priors and to cavity shape</w:t>
      </w:r>
    </w:p>
    <w:p>
      <w:pPr>
        <w:pStyle w:val="FirstParagraph"/>
        <w:spacing w:line="480" w:lineRule="auto"/>
      </w:pPr>
      <w:r>
        <w:rPr>
          <w:rFonts w:ascii="Times New Roman" w:hAnsi="Times New Roman" w:cs="Times New Roman"/>
          <w:b/>
          <w:bCs/>
          <w:color w:val="000000"/>
          <w:sz w:val="24"/>
        </w:rPr>
        <w:t xml:space="preserve">Beta prior.</w:t>
      </w:r>
      <w:r>
        <w:rPr>
          <w:rFonts w:ascii="Times New Roman" w:hAnsi="Times New Roman" w:cs="Times New Roman"/>
          <w:color w:val="000000"/>
          <w:sz w:val="24"/>
        </w:rPr>
        <w:t xml:space="preserve"> </w:t>
      </w:r>
      <w:r>
        <w:rPr>
          <w:rFonts w:ascii="Times New Roman" w:hAnsi="Times New Roman" w:cs="Times New Roman"/>
          <w:color w:val="000000"/>
          <w:sz w:val="24"/>
        </w:rPr>
        <w:t xml:space="preserve">Re-running the Monte Carlo with Beta</w:t>
      </w:r>
      <m:oMath>
        <m:r>
          <m:rPr>
            <m:sty m:val="p"/>
          </m:rPr>
          <m:t>(</m:t>
        </m:r>
        <m:r>
          <m:t>1</m:t>
        </m:r>
        <m:r>
          <m:rPr>
            <m:sty m:val="p"/>
          </m:rPr>
          <m:t>,</m:t>
        </m:r>
        <m:r>
          <m:t>1</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(uniform), Beta</w:t>
      </w:r>
      <m:oMath>
        <m:r>
          <m:rPr>
            <m:sty m:val="p"/>
          </m:rPr>
          <m:t>(</m:t>
        </m:r>
        <m:r>
          <m:t>2</m:t>
        </m:r>
        <m:r>
          <m:rPr>
            <m:sty m:val="p"/>
          </m:rPr>
          <m:t>,</m:t>
        </m:r>
        <m:r>
          <m:t>5</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(low-eccentricity skew) and Beta</w:t>
      </w:r>
      <m:oMath>
        <m:r>
          <m:rPr>
            <m:sty m:val="p"/>
          </m:rPr>
          <m:t>(</m:t>
        </m:r>
        <m:r>
          <m:t>5</m:t>
        </m:r>
        <m:r>
          <m:rPr>
            <m:sty m:val="p"/>
          </m:rPr>
          <m:t>,</m:t>
        </m:r>
        <m:r>
          <m:t>2</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(high-eccentricity skew) priors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(lower-bound S-N) produced median life ratios of</w:t>
      </w:r>
      <w:r>
        <w:rPr>
          <w:rFonts w:ascii="Times New Roman" w:hAnsi="Times New Roman" w:cs="Times New Roman"/>
          <w:color w:val="000000"/>
          <w:sz w:val="24"/>
        </w:rPr>
        <w:t xml:space="preserve"> </w:t>
      </w:r>
      <m:oMath>
        <m:r>
          <m:t>0.261</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r>
          <m:t>0.574</m:t>
        </m:r>
      </m:oMath>
      <w:r>
        <w:rPr>
          <w:rFonts w:ascii="Times New Roman" w:hAnsi="Times New Roman" w:cs="Times New Roman"/>
          <w:color w:val="000000"/>
          <w:sz w:val="24"/>
        </w:rPr>
        <w:t xml:space="preserve">, and</w:t>
      </w:r>
      <w:r>
        <w:rPr>
          <w:rFonts w:ascii="Times New Roman" w:hAnsi="Times New Roman" w:cs="Times New Roman"/>
          <w:color w:val="000000"/>
          <w:sz w:val="24"/>
        </w:rPr>
        <w:t xml:space="preserve"> </w:t>
      </w:r>
      <m:oMath>
        <m:r>
          <m:t>0.066</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respectively (Figure 10a).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qualitative</w:t>
      </w:r>
      <w:r>
        <w:rPr>
          <w:rFonts w:ascii="Times New Roman" w:hAnsi="Times New Roman" w:cs="Times New Roman"/>
          <w:color w:val="000000"/>
          <w:sz w:val="24"/>
        </w:rPr>
        <w:t xml:space="preserve"> </w:t>
      </w:r>
      <w:r>
        <w:rPr>
          <w:rFonts w:ascii="Times New Roman" w:hAnsi="Times New Roman" w:cs="Times New Roman"/>
          <w:color w:val="000000"/>
          <w:sz w:val="24"/>
        </w:rPr>
        <w:t xml:space="preserve">conclusion — that the median eccentric tree has substantially shorter fatigue life than the concentric estimate — holds across all priors. The 5th-percentile tails (</w:t>
      </w:r>
      <m:oMath>
        <m:r>
          <m:t>0.009</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r>
          <m:t>0.157</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r>
          <m:t>0.010</m:t>
        </m:r>
      </m:oMath>
      <w:r>
        <w:rPr>
          <w:rFonts w:ascii="Times New Roman" w:hAnsi="Times New Roman" w:cs="Times New Roman"/>
          <w:color w:val="000000"/>
          <w:sz w:val="24"/>
        </w:rPr>
        <w:t xml:space="preserve">) all corroborate the non-conservatism of the concentric assumption. The Beta(2, 2) baseline used elsewhere in this paper sits between the most-pessimistic Beta(5, 2) and the most-optimistic Beta(2, 5), and is therefore an appropriately balanced default in the absence of empirical priors.</w:t>
      </w:r>
    </w:p>
    <w:p>
      <w:pPr>
        <w:pStyle w:val="BodyText"/>
        <w:spacing w:line="480" w:lineRule="auto"/>
      </w:pPr>
      <w:r>
        <w:rPr>
          <w:rFonts w:ascii="Times New Roman" w:hAnsi="Times New Roman" w:cs="Times New Roman"/>
          <w:b/>
          <w:bCs/>
          <w:color w:val="000000"/>
          <w:sz w:val="24"/>
        </w:rPr>
        <w:t xml:space="preserve">Aspect ratio.</w:t>
      </w:r>
      <w:r>
        <w:rPr>
          <w:rFonts w:ascii="Times New Roman" w:hAnsi="Times New Roman" w:cs="Times New Roman"/>
          <w:color w:val="000000"/>
          <w:sz w:val="24"/>
        </w:rPr>
        <w:t xml:space="preserve"> </w:t>
      </w:r>
      <w:r>
        <w:rPr>
          <w:rFonts w:ascii="Times New Roman" w:hAnsi="Times New Roman" w:cs="Times New Roman"/>
          <w:color w:val="000000"/>
          <w:sz w:val="24"/>
        </w:rPr>
        <w:t xml:space="preserve">Area-equivalent elliptical cavities of aspect ratios</w:t>
      </w:r>
      <w:r>
        <w:rPr>
          <w:rFonts w:ascii="Times New Roman" w:hAnsi="Times New Roman" w:cs="Times New Roman"/>
          <w:color w:val="000000"/>
          <w:sz w:val="24"/>
        </w:rPr>
        <w:t xml:space="preserve"> </w:t>
      </w:r>
      <m:oMath>
        <m:r>
          <m:t>1</m:t>
        </m:r>
        <m:r>
          <m:rPr>
            <m:sty m:val="p"/>
          </m:rPr>
          <m:t>:</m:t>
        </m:r>
        <m:r>
          <m:t>2</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w:t>
      </w:r>
      <w:r>
        <w:rPr>
          <w:rFonts w:ascii="Times New Roman" w:hAnsi="Times New Roman" w:cs="Times New Roman"/>
          <w:color w:val="000000"/>
          <w:sz w:val="24"/>
        </w:rPr>
        <w:t xml:space="preserve"> </w:t>
      </w:r>
      <m:oMath>
        <m:r>
          <m:t>1</m:t>
        </m:r>
        <m:r>
          <m:rPr>
            <m:sty m:val="p"/>
          </m:rPr>
          <m:t>:</m:t>
        </m:r>
        <m:r>
          <m:t>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produced median</w:t>
      </w:r>
      <w:r>
        <w:rPr>
          <w:rFonts w:ascii="Times New Roman" w:hAnsi="Times New Roman" w:cs="Times New Roman"/>
          <w:color w:val="000000"/>
          <w:sz w:val="24"/>
        </w:rPr>
        <w:t xml:space="preserve"> </w:t>
      </w:r>
      <m:oMath>
        <m:r>
          <m:t>ρ</m:t>
        </m:r>
        <m:r>
          <m:rPr>
            <m:sty m:val="p"/>
          </m:rPr>
          <m:t>=</m:t>
        </m:r>
        <m:r>
          <m:t>0.570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w:t>
      </w:r>
      <w:r>
        <w:rPr>
          <w:rFonts w:ascii="Times New Roman" w:hAnsi="Times New Roman" w:cs="Times New Roman"/>
          <w:color w:val="000000"/>
          <w:sz w:val="24"/>
        </w:rPr>
        <w:t xml:space="preserve"> </w:t>
      </w:r>
      <m:oMath>
        <m:r>
          <m:t>0.520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respectively (Figure 10b), both</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less severe</w:t>
      </w:r>
      <w:r>
        <w:rPr>
          <w:rFonts w:ascii="Times New Roman" w:hAnsi="Times New Roman" w:cs="Times New Roman"/>
          <w:color w:val="000000"/>
          <w:sz w:val="24"/>
        </w:rPr>
        <w:t xml:space="preserve"> </w:t>
      </w:r>
      <w:r>
        <w:rPr>
          <w:rFonts w:ascii="Times New Roman" w:hAnsi="Times New Roman" w:cs="Times New Roman"/>
          <w:color w:val="000000"/>
          <w:sz w:val="24"/>
        </w:rPr>
        <w:t xml:space="preserve">than the circular baseline (</w:t>
      </w:r>
      <m:oMath>
        <m:r>
          <m:t>ρ</m:t>
        </m:r>
        <m:r>
          <m:rPr>
            <m:sty m:val="p"/>
          </m:rPr>
          <m:t>=</m:t>
        </m:r>
        <m:r>
          <m:t>0.413</m:t>
        </m:r>
      </m:oMath>
      <w:r>
        <w:rPr>
          <w:rFonts w:ascii="Times New Roman" w:hAnsi="Times New Roman" w:cs="Times New Roman"/>
          <w:color w:val="000000"/>
          <w:sz w:val="24"/>
        </w:rPr>
        <w:t xml:space="preserve">).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the</w:t>
      </w:r>
      <w:r>
        <w:rPr>
          <w:rFonts w:ascii="Times New Roman" w:hAnsi="Times New Roman" w:cs="Times New Roman"/>
          <w:color w:val="000000"/>
          <w:sz w:val="24"/>
        </w:rPr>
        <w:t xml:space="preserve"> </w:t>
      </w:r>
      <m:oMath>
        <m:r>
          <m:t>1</m:t>
        </m:r>
        <m:r>
          <m:rPr>
            <m:sty m:val="p"/>
          </m:rPr>
          <m:t>:</m:t>
        </m:r>
        <m:r>
          <m:t>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ellipse is geometrically infeasible (the major axis exceeds the outer radius); the</w:t>
      </w:r>
      <w:r>
        <w:rPr>
          <w:rFonts w:ascii="Times New Roman" w:hAnsi="Times New Roman" w:cs="Times New Roman"/>
          <w:color w:val="000000"/>
          <w:sz w:val="24"/>
        </w:rPr>
        <w:t xml:space="preserve"> </w:t>
      </w:r>
      <m:oMath>
        <m:r>
          <m:t>1</m:t>
        </m:r>
        <m:r>
          <m:rPr>
            <m:sty m:val="p"/>
          </m:rPr>
          <m:t>:</m:t>
        </m:r>
        <m:r>
          <m:t>2</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ellipse produced a degenerate distribution clustered at</w:t>
      </w:r>
      <w:r>
        <w:rPr>
          <w:rFonts w:ascii="Times New Roman" w:hAnsi="Times New Roman" w:cs="Times New Roman"/>
          <w:color w:val="000000"/>
          <w:sz w:val="24"/>
        </w:rPr>
        <w:t xml:space="preserve"> </w:t>
      </w:r>
      <m:oMath>
        <m:r>
          <m:t>ρ</m:t>
        </m:r>
        <m:r>
          <m:rPr>
            <m:sty m:val="p"/>
          </m:rPr>
          <m:t>≈</m:t>
        </m:r>
        <m:r>
          <m:t>0.17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because the cavity is essentially constrained to be tangent to the outer wall. We conclude that elongated cavities are not systematically worse than circular cavities of the same area; the dominant geometric variable is the radial extent of the cavity, captured by</w:t>
      </w:r>
      <w:r>
        <w:rPr>
          <w:rFonts w:ascii="Times New Roman" w:hAnsi="Times New Roman" w:cs="Times New Roman"/>
          <w:color w:val="000000"/>
          <w:sz w:val="24"/>
        </w:rPr>
        <w:t xml:space="preserve"> </w:t>
      </w:r>
      <m:oMath>
        <m:sSub>
          <m:e>
            <m:r>
              <m:t>e</m:t>
            </m:r>
          </m:e>
          <m:sub>
            <m:r>
              <m:rPr>
                <m:nor/>
                <m:sty m:val="p"/>
              </m:rPr>
              <m:t>norm</m:t>
            </m:r>
          </m:sub>
        </m:sSub>
      </m:oMath>
      <w:r>
        <w:rPr>
          <w:rFonts w:ascii="Times New Roman" w:hAnsi="Times New Roman" w:cs="Times New Roman"/>
          <w:color w:val="000000"/>
          <w:sz w:val="24"/>
        </w:rPr>
        <w:t xml:space="preserve">.</w:t>
      </w:r>
    </w:p>
    <w:p>
      <w:pPr>
        <w:pStyle w:val="BodyText"/>
        <w:spacing w:line="480" w:lineRule="auto"/>
      </w:pPr>
      <w:r>
        <w:rPr>
          <w:rFonts w:ascii="Times New Roman" w:hAnsi="Times New Roman" w:cs="Times New Roman"/>
          <w:b/>
          <w:bCs/>
          <w:color w:val="000000"/>
          <w:sz w:val="24"/>
        </w:rPr>
        <w:t xml:space="preserve">Variance decomposition.</w:t>
      </w:r>
      <w:r>
        <w:rPr>
          <w:rFonts w:ascii="Times New Roman" w:hAnsi="Times New Roman" w:cs="Times New Roman"/>
          <w:color w:val="000000"/>
          <w:sz w:val="24"/>
        </w:rPr>
        <w:t xml:space="preserve"> </w:t>
      </w:r>
      <w:r>
        <w:rPr>
          <w:rFonts w:ascii="Times New Roman" w:hAnsi="Times New Roman" w:cs="Times New Roman"/>
          <w:color w:val="000000"/>
          <w:sz w:val="24"/>
        </w:rPr>
        <w:t xml:space="preserve">A first-order Sobol-style analysis (Saltelli et al. 2008) attributes 99.6 % of the variance in</w:t>
      </w:r>
      <w:r>
        <w:rPr>
          <w:rFonts w:ascii="Times New Roman" w:hAnsi="Times New Roman" w:cs="Times New Roman"/>
          <w:color w:val="000000"/>
          <w:sz w:val="24"/>
        </w:rPr>
        <w:t xml:space="preserve"> </w:t>
      </w:r>
      <m:oMath>
        <m:r>
          <m:t>ρ</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to the eccentricity</w:t>
      </w:r>
      <w:r>
        <w:rPr>
          <w:rFonts w:ascii="Times New Roman" w:hAnsi="Times New Roman" w:cs="Times New Roman"/>
          <w:color w:val="000000"/>
          <w:sz w:val="24"/>
        </w:rPr>
        <w:t xml:space="preserve"> </w:t>
      </w:r>
      <m:oMath>
        <m:sSub>
          <m:e>
            <m:r>
              <m:t>e</m:t>
            </m:r>
          </m:e>
          <m:sub>
            <m:r>
              <m:rPr>
                <m:nor/>
                <m:sty m:val="p"/>
              </m:rPr>
              <m:t>norm</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alone in the circular case, with cavity orientation contributing only 0.2 %. For the elliptical case the decomposition is</w:t>
      </w:r>
      <w:r>
        <w:rPr>
          <w:rFonts w:ascii="Times New Roman" w:hAnsi="Times New Roman" w:cs="Times New Roman"/>
          <w:color w:val="000000"/>
          <w:sz w:val="24"/>
        </w:rPr>
        <w:t xml:space="preserve"> </w:t>
      </w:r>
      <m:oMath>
        <m:sSub>
          <m:e>
            <m:r>
              <m:t>S</m:t>
            </m:r>
          </m:e>
          <m:sub>
            <m:sSub>
              <m:e>
                <m:r>
                  <m:t>e</m:t>
                </m:r>
              </m:e>
              <m:sub>
                <m:r>
                  <m:rPr>
                    <m:nor/>
                    <m:sty m:val="p"/>
                  </m:rPr>
                  <m:t>norm</m:t>
                </m:r>
              </m:sub>
            </m:sSub>
          </m:sub>
        </m:sSub>
        <m:r>
          <m:rPr>
            <m:sty m:val="p"/>
          </m:rPr>
          <m:t>=</m:t>
        </m:r>
        <m:r>
          <m:t>0.71</m:t>
        </m:r>
      </m:oMath>
      <w:r>
        <w:rPr>
          <w:rFonts w:ascii="Times New Roman" w:hAnsi="Times New Roman" w:cs="Times New Roman"/>
          <w:color w:val="000000"/>
          <w:sz w:val="24"/>
        </w:rPr>
        <w:t xml:space="preserve">,</w:t>
      </w:r>
      <w:r>
        <w:rPr>
          <w:rFonts w:ascii="Times New Roman" w:hAnsi="Times New Roman" w:cs="Times New Roman"/>
          <w:color w:val="000000"/>
          <w:sz w:val="24"/>
        </w:rPr>
        <w:t xml:space="preserve"> </w:t>
      </w:r>
      <m:oMath>
        <m:sSub>
          <m:e>
            <m:r>
              <m:t>S</m:t>
            </m:r>
          </m:e>
          <m:sub>
            <m:r>
              <m:rPr>
                <m:nor/>
                <m:sty m:val="p"/>
              </m:rPr>
              <m:t>aspect</m:t>
            </m:r>
          </m:sub>
        </m:sSub>
        <m:r>
          <m:rPr>
            <m:sty m:val="p"/>
          </m:rPr>
          <m:t>=</m:t>
        </m:r>
        <m:r>
          <m:t>0.07</m:t>
        </m:r>
      </m:oMath>
      <w:r>
        <w:rPr>
          <w:rFonts w:ascii="Times New Roman" w:hAnsi="Times New Roman" w:cs="Times New Roman"/>
          <w:color w:val="000000"/>
          <w:sz w:val="24"/>
        </w:rPr>
        <w:t xml:space="preserve">, with all orientation variables contributing less than 0.5 % each (Figure 10c). The implication for sonic-tomography surveys is direct:</w:t>
      </w:r>
      <w:r>
        <w:rPr>
          <w:rFonts w:ascii="Times New Roman" w:hAnsi="Times New Roman" w:cs="Times New Roman"/>
          <w:color w:val="000000"/>
          <w:sz w:val="24"/>
        </w:rPr>
        <w:t xml:space="preserve"> </w:t>
      </w:r>
      <w:r>
        <w:rPr>
          <w:rFonts w:ascii="Times New Roman" w:hAnsi="Times New Roman" w:cs="Times New Roman"/>
          <w:b/>
          <w:bCs/>
          <w:color w:val="000000"/>
          <w:sz w:val="24"/>
        </w:rPr>
        <w:t xml:space="preserve">measure</w:t>
      </w:r>
      <w:r>
        <w:rPr>
          <w:rFonts w:ascii="Times New Roman" w:hAnsi="Times New Roman" w:cs="Times New Roman"/>
          <w:b/>
          <w:bCs/>
          <w:color w:val="000000"/>
          <w:sz w:val="24"/>
        </w:rPr>
        <w:t xml:space="preserve"> </w:t>
      </w:r>
      <m:oMath>
        <m:sSub>
          <m:e>
            <m:r>
              <m:t>e</m:t>
            </m:r>
          </m:e>
          <m:sub>
            <m:r>
              <m:rPr>
                <m:nor/>
                <m:sty m:val="p"/>
              </m:rPr>
              <m:t>norm</m:t>
            </m:r>
          </m:sub>
        </m:sSub>
      </m:oMath>
      <w:r>
        <w:rPr>
          <w:rFonts w:ascii="Times New Roman" w:hAnsi="Times New Roman" w:cs="Times New Roman"/>
          <w:b/>
          <w:bCs/>
          <w:color w:val="000000"/>
          <w:sz w:val="24"/>
        </w:rPr>
        <w:t xml:space="preserve">, not</w:t>
      </w:r>
      <w:r>
        <w:rPr>
          <w:rFonts w:ascii="Times New Roman" w:hAnsi="Times New Roman" w:cs="Times New Roman"/>
          <w:b/>
          <w:bCs/>
          <w:color w:val="000000"/>
          <w:sz w:val="24"/>
        </w:rPr>
        <w:t xml:space="preserve"> </w:t>
      </w:r>
      <m:oMath>
        <m:sSub>
          <m:e>
            <m:r>
              <m:t>θ</m:t>
            </m:r>
          </m:e>
          <m:sub>
            <m:r>
              <m:t>e</m:t>
            </m:r>
          </m:sub>
        </m:sSub>
      </m:oMath>
      <w:r>
        <w:rPr>
          <w:rFonts w:ascii="Times New Roman" w:hAnsi="Times New Roman" w:cs="Times New Roman"/>
          <w:color w:val="000000"/>
          <w:sz w:val="24"/>
        </w:rPr>
        <w:t xml:space="preserve">.</w:t>
      </w:r>
    </w:p>
    <w:bookmarkEnd w:id="27"/>
    <w:bookmarkStart w:id="28" w:name="risk-based-inspection-policy-matrix"/>
    <w:p>
      <w:pPr>
        <w:pStyle w:val="Heading3"/>
        <w:spacing w:line="480" w:lineRule="auto"/>
      </w:pPr>
      <w:r>
        <w:rPr>
          <w:rFonts w:ascii="Times New Roman" w:hAnsi="Times New Roman" w:cs="Times New Roman"/>
          <w:b/>
          <w:color w:val="000000"/>
          <w:sz w:val="24"/>
        </w:rPr>
        <w:t xml:space="preserve">3.7 Risk-based inspection policy matrix</w:t>
      </w:r>
    </w:p>
    <w:p>
      <w:pPr>
        <w:pStyle w:val="FirstParagraph"/>
        <w:spacing w:line="480" w:lineRule="auto"/>
      </w:pPr>
      <w:r>
        <w:rPr>
          <w:rFonts w:ascii="Times New Roman" w:hAnsi="Times New Roman" w:cs="Times New Roman"/>
          <w:color w:val="000000"/>
          <w:sz w:val="24"/>
        </w:rPr>
        <w:t xml:space="preserve">Combining the absolute-life distributions with regional damage multipliers we constructed a 3-region × 5-decay × 2-S-N inspection policy matrix (Table 3; Figure 11). Recommended inspection intervals were set at</w:t>
      </w:r>
      <w:r>
        <w:rPr>
          <w:rFonts w:ascii="Times New Roman" w:hAnsi="Times New Roman" w:cs="Times New Roman"/>
          <w:color w:val="000000"/>
          <w:sz w:val="24"/>
        </w:rPr>
        <w:t xml:space="preserve"> </w:t>
      </w:r>
      <m:oMath>
        <m:r>
          <m:rPr>
            <m:sty m:val="p"/>
          </m:rPr>
          <m:t>Δ</m:t>
        </m:r>
        <m:r>
          <m:t>t</m:t>
        </m:r>
        <m:r>
          <m:rPr>
            <m:sty m:val="p"/>
          </m:rPr>
          <m:t>=</m:t>
        </m:r>
        <m:sSub>
          <m:e>
            <m:r>
              <m:t>T</m:t>
            </m:r>
          </m:e>
          <m:sub>
            <m:r>
              <m:t>p</m:t>
            </m:r>
            <m:r>
              <m:t>5</m:t>
            </m:r>
          </m:sub>
        </m:sSub>
        <m:r>
          <m:rPr>
            <m:sty m:val="p"/>
          </m:rPr>
          <m:t>/</m:t>
        </m:r>
        <m:r>
          <m:t>2</m:t>
        </m:r>
      </m:oMath>
      <w:r>
        <w:rPr>
          <w:rFonts w:ascii="Times New Roman" w:hAnsi="Times New Roman" w:cs="Times New Roman"/>
          <w:color w:val="000000"/>
          <w:sz w:val="24"/>
        </w:rPr>
        <w:t xml:space="preserve">, with categorical labels assigned by threshold: REMOVE (immediate) for</w:t>
      </w:r>
      <w:r>
        <w:rPr>
          <w:rFonts w:ascii="Times New Roman" w:hAnsi="Times New Roman" w:cs="Times New Roman"/>
          <w:color w:val="000000"/>
          <w:sz w:val="24"/>
        </w:rPr>
        <w:t xml:space="preserve"> </w:t>
      </w:r>
      <m:oMath>
        <m:sSub>
          <m:e>
            <m:r>
              <m:t>T</m:t>
            </m:r>
          </m:e>
          <m:sub>
            <m:r>
              <m:t>p</m:t>
            </m:r>
            <m:r>
              <m:t>5</m:t>
            </m:r>
          </m:sub>
        </m:sSub>
        <m:r>
          <m:rPr>
            <m:sty m:val="p"/>
          </m:rPr>
          <m:t>&lt;</m:t>
        </m:r>
        <m:r>
          <m:t>0.1</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yr, REMOVE (urgent) for</w:t>
      </w:r>
      <w:r>
        <w:rPr>
          <w:rFonts w:ascii="Times New Roman" w:hAnsi="Times New Roman" w:cs="Times New Roman"/>
          <w:color w:val="000000"/>
          <w:sz w:val="24"/>
        </w:rPr>
        <w:t xml:space="preserve"> </w:t>
      </w:r>
      <m:oMath>
        <m:r>
          <m:t>0.1</m:t>
        </m:r>
        <m:r>
          <m:rPr>
            <m:sty m:val="p"/>
          </m:rPr>
          <m:t>≤</m:t>
        </m:r>
        <m:sSub>
          <m:e>
            <m:r>
              <m:t>T</m:t>
            </m:r>
          </m:e>
          <m:sub>
            <m:r>
              <m:t>p</m:t>
            </m:r>
            <m:r>
              <m:t>5</m:t>
            </m:r>
          </m:sub>
        </m:sSub>
        <m:r>
          <m:rPr>
            <m:sty m:val="p"/>
          </m:rPr>
          <m:t>&lt;</m:t>
        </m:r>
        <m:r>
          <m:t>1</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yr, ANNUAL for</w:t>
      </w:r>
      <w:r>
        <w:rPr>
          <w:rFonts w:ascii="Times New Roman" w:hAnsi="Times New Roman" w:cs="Times New Roman"/>
          <w:color w:val="000000"/>
          <w:sz w:val="24"/>
        </w:rPr>
        <w:t xml:space="preserve"> </w:t>
      </w:r>
      <m:oMath>
        <m:r>
          <m:t>1</m:t>
        </m:r>
        <m:r>
          <m:rPr>
            <m:sty m:val="p"/>
          </m:rPr>
          <m:t>≤</m:t>
        </m:r>
        <m:sSub>
          <m:e>
            <m:r>
              <m:t>T</m:t>
            </m:r>
          </m:e>
          <m:sub>
            <m:r>
              <m:t>p</m:t>
            </m:r>
            <m:r>
              <m:t>5</m:t>
            </m:r>
          </m:sub>
        </m:sSub>
        <m:r>
          <m:rPr>
            <m:sty m:val="p"/>
          </m:rPr>
          <m:t>&lt;</m:t>
        </m:r>
        <m:r>
          <m:t>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yr, BI-ANNUAL for</w:t>
      </w:r>
      <w:r>
        <w:rPr>
          <w:rFonts w:ascii="Times New Roman" w:hAnsi="Times New Roman" w:cs="Times New Roman"/>
          <w:color w:val="000000"/>
          <w:sz w:val="24"/>
        </w:rPr>
        <w:t xml:space="preserve"> </w:t>
      </w:r>
      <m:oMath>
        <m:r>
          <m:t>5</m:t>
        </m:r>
        <m:r>
          <m:rPr>
            <m:sty m:val="p"/>
          </m:rPr>
          <m:t>≤</m:t>
        </m:r>
        <m:sSub>
          <m:e>
            <m:r>
              <m:t>T</m:t>
            </m:r>
          </m:e>
          <m:sub>
            <m:r>
              <m:t>p</m:t>
            </m:r>
            <m:r>
              <m:t>5</m:t>
            </m:r>
          </m:sub>
        </m:sSub>
        <m:r>
          <m:rPr>
            <m:sty m:val="p"/>
          </m:rPr>
          <m:t>&lt;</m:t>
        </m:r>
        <m:r>
          <m:t>30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yr, and STANDARD (5-yr) for</w:t>
      </w:r>
      <w:r>
        <w:rPr>
          <w:rFonts w:ascii="Times New Roman" w:hAnsi="Times New Roman" w:cs="Times New Roman"/>
          <w:color w:val="000000"/>
          <w:sz w:val="24"/>
        </w:rPr>
        <w:t xml:space="preserve"> </w:t>
      </w:r>
      <m:oMath>
        <m:sSub>
          <m:e>
            <m:r>
              <m:t>T</m:t>
            </m:r>
          </m:e>
          <m:sub>
            <m:r>
              <m:t>p</m:t>
            </m:r>
            <m:r>
              <m:t>5</m:t>
            </m:r>
          </m:sub>
        </m:sSub>
        <m:r>
          <m:rPr>
            <m:sty m:val="p"/>
          </m:rPr>
          <m:t>≥</m:t>
        </m:r>
        <m:r>
          <m:t>30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yr. Under lower-bound S-N,</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all</w:t>
      </w:r>
      <w:r>
        <w:rPr>
          <w:rFonts w:ascii="Times New Roman" w:hAnsi="Times New Roman" w:cs="Times New Roman"/>
          <w:color w:val="000000"/>
          <w:sz w:val="24"/>
        </w:rPr>
        <w:t xml:space="preserve"> </w:t>
      </w:r>
      <w:r>
        <w:rPr>
          <w:rFonts w:ascii="Times New Roman" w:hAnsi="Times New Roman" w:cs="Times New Roman"/>
          <w:color w:val="000000"/>
          <w:sz w:val="24"/>
        </w:rPr>
        <w:t xml:space="preserve">tested decay levels in Incheon and Jeju with</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fall into REMOVE categories, compared with</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0.6</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for Seoul. Even at the modest decay level</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current Korean street-tree inspection guidelines (Ministry of Land, Infrastructure and Transport 2019) — which prescribe routine annual visual checks irrespective of decay state — leave a 21-72 % fraction of the eccentric-tree population unprotected (Table 2).</w:t>
      </w:r>
    </w:p>
    <w:p>
      <w:pPr>
        <w:pStyle w:val="BodyText"/>
        <w:spacing w:line="480" w:lineRule="auto"/>
      </w:pPr>
      <w:r>
        <w:rPr>
          <w:rFonts w:ascii="Times New Roman" w:hAnsi="Times New Roman" w:cs="Times New Roman"/>
          <w:b/>
          <w:bCs/>
          <w:color w:val="000000"/>
          <w:sz w:val="24"/>
        </w:rPr>
        <w:t xml:space="preserve">Table 3.</w:t>
      </w:r>
      <w:r>
        <w:rPr>
          <w:rFonts w:ascii="Times New Roman" w:hAnsi="Times New Roman" w:cs="Times New Roman"/>
          <w:color w:val="000000"/>
          <w:sz w:val="24"/>
        </w:rPr>
        <w:t xml:space="preserve"> </w:t>
      </w:r>
      <w:r>
        <w:rPr>
          <w:rFonts w:ascii="Times New Roman" w:hAnsi="Times New Roman" w:cs="Times New Roman"/>
          <w:color w:val="000000"/>
          <w:sz w:val="24"/>
        </w:rPr>
        <w:t xml:space="preserve">Inspection policy matrix (lower-bound S-N).</w:t>
      </w:r>
    </w:p>
    <w:tbl>
      <w:tblPr>
        <w:tblStyle w:val="Table"/>
        <w:tblW w:type="pct" w:w="5000"/>
        <w:tblLayout w:type="fixed"/>
        <w:tblLook w:firstRow="1" w:lastRow="0" w:firstColumn="0" w:lastColumn="0" w:noHBand="0" w:noVBand="0" w:val="0020"/>
      </w:tblPr>
      <w:tblGrid>
        <w:gridCol w:w="698"/>
        <w:gridCol w:w="815"/>
        <w:gridCol w:w="1980"/>
        <w:gridCol w:w="931"/>
        <w:gridCol w:w="2562"/>
        <w:gridCol w:w="931"/>
      </w:tblGrid>
      <w:tr>
        <w:trPr>
          <w:tblHeader w:val="on"/>
        </w:trPr>
        <w:tc>
          <w:tcPr/>
          <w:p>
            <w:pPr>
              <w:pStyle w:val="Compact"/>
              <w:spacing w:line="240" w:lineRule="auto"/>
            </w:pPr>
            <w:r>
              <w:rPr>
                <w:rFonts w:ascii="Times New Roman" w:hAnsi="Times New Roman"/>
                <w:color w:val="000000"/>
              </w:rPr>
              <w:t xml:space="preserve">Region</w:t>
            </w:r>
          </w:p>
        </w:tc>
        <w:tc>
          <w:tcPr/>
          <w:p>
            <w:pPr>
              <w:pStyle w:val="Compact"/>
              <w:spacing w:line="240" w:lineRule="auto"/>
            </w:pPr>
            <m:oMath>
              <m:sSub>
                <m:e>
                  <m:r>
                    <m:t>r</m:t>
                  </m:r>
                </m:e>
                <m:sub>
                  <m:r>
                    <m:t>d</m:t>
                  </m:r>
                </m:sub>
              </m:sSub>
              <m:r>
                <m:rPr>
                  <m:sty m:val="p"/>
                </m:rPr>
                <m:t>/</m:t>
              </m:r>
              <m:r>
                <m:t>R</m:t>
              </m:r>
            </m:oMath>
          </w:p>
        </w:tc>
        <w:tc>
          <w:tcPr/>
          <w:p>
            <w:pPr>
              <w:pStyle w:val="Compact"/>
              <w:spacing w:line="240" w:lineRule="auto"/>
            </w:pPr>
            <m:oMath>
              <m:sSub>
                <m:e>
                  <m:r>
                    <m:t>T</m:t>
                  </m:r>
                </m:e>
                <m:sub>
                  <m:r>
                    <m:rPr>
                      <m:nor/>
                      <m:sty m:val="p"/>
                    </m:rPr>
                    <m:t>conc</m:t>
                  </m:r>
                </m:sub>
              </m:sSub>
            </m:oMath>
          </w:p>
        </w:tc>
        <w:tc>
          <w:tcPr/>
          <w:p>
            <w:pPr>
              <w:pStyle w:val="Compact"/>
              <w:spacing w:line="240" w:lineRule="auto"/>
            </w:pPr>
            <m:oMath>
              <m:sSub>
                <m:e>
                  <m:r>
                    <m:t>T</m:t>
                  </m:r>
                </m:e>
                <m:sub>
                  <m:r>
                    <m:t>p</m:t>
                  </m:r>
                  <m:r>
                    <m:t>5</m:t>
                  </m:r>
                </m:sub>
              </m:sSub>
            </m:oMath>
          </w:p>
        </w:tc>
        <w:tc>
          <w:tcPr/>
          <w:p>
            <w:pPr>
              <w:pStyle w:val="Compact"/>
              <w:spacing w:line="240" w:lineRule="auto"/>
            </w:pPr>
            <w:r>
              <w:rPr>
                <w:rFonts w:ascii="Times New Roman" w:hAnsi="Times New Roman"/>
                <w:color w:val="000000"/>
              </w:rPr>
              <w:t xml:space="preserve">recommended</w:t>
            </w:r>
            <w:r>
              <w:rPr>
                <w:rFonts w:ascii="Times New Roman" w:hAnsi="Times New Roman"/>
                <w:color w:val="000000"/>
              </w:rPr>
              <w:t xml:space="preserve"> </w:t>
            </w:r>
            <m:oMath>
              <m:r>
                <m:rPr>
                  <m:sty m:val="p"/>
                </m:rPr>
                <m:t>Δ</m:t>
              </m:r>
              <m:r>
                <m:t>t</m:t>
              </m:r>
            </m:oMath>
          </w:p>
        </w:tc>
        <w:tc>
          <w:tcPr/>
          <w:p>
            <w:pPr>
              <w:pStyle w:val="Compact"/>
              <w:spacing w:line="240" w:lineRule="auto"/>
            </w:pPr>
            <w:r>
              <w:rPr>
                <w:rFonts w:ascii="Times New Roman" w:hAnsi="Times New Roman"/>
                <w:color w:val="000000"/>
              </w:rPr>
              <w:t xml:space="preserve">category</w:t>
            </w:r>
          </w:p>
        </w:tc>
      </w:tr>
      <w:tr>
        <w:tc>
          <w:tcPr/>
          <w:p>
            <w:pPr>
              <w:pStyle w:val="Compact"/>
              <w:spacing w:line="240" w:lineRule="auto"/>
            </w:pPr>
            <w:r>
              <w:rPr>
                <w:rFonts w:ascii="Times New Roman" w:hAnsi="Times New Roman"/>
                <w:color w:val="000000"/>
              </w:rPr>
              <w:t xml:space="preserve">Seoul</w:t>
            </w:r>
          </w:p>
        </w:tc>
        <w:tc>
          <w:tcPr/>
          <w:p>
            <w:pPr>
              <w:pStyle w:val="Compact"/>
              <w:spacing w:line="240" w:lineRule="auto"/>
            </w:pPr>
            <w:r>
              <w:rPr>
                <w:rFonts w:ascii="Times New Roman" w:hAnsi="Times New Roman"/>
                <w:color w:val="000000"/>
              </w:rPr>
              <w:t xml:space="preserve">0.30</w:t>
            </w:r>
          </w:p>
        </w:tc>
        <w:tc>
          <w:tcPr/>
          <w:p>
            <w:pPr>
              <w:pStyle w:val="Compact"/>
              <w:spacing w:line="240" w:lineRule="auto"/>
            </w:pPr>
            <w:r>
              <w:rPr>
                <w:rFonts w:ascii="Times New Roman" w:hAnsi="Times New Roman"/>
                <w:color w:val="000000"/>
              </w:rPr>
              <w:t xml:space="preserve">53.2</w:t>
            </w:r>
          </w:p>
        </w:tc>
        <w:tc>
          <w:tcPr/>
          <w:p>
            <w:pPr>
              <w:pStyle w:val="Compact"/>
              <w:spacing w:line="240" w:lineRule="auto"/>
            </w:pPr>
            <w:r>
              <w:rPr>
                <w:rFonts w:ascii="Times New Roman" w:hAnsi="Times New Roman"/>
                <w:color w:val="000000"/>
              </w:rPr>
              <w:t xml:space="preserve">18.15</w:t>
            </w:r>
          </w:p>
        </w:tc>
        <w:tc>
          <w:tcPr/>
          <w:p>
            <w:pPr>
              <w:pStyle w:val="Compact"/>
              <w:spacing w:line="240" w:lineRule="auto"/>
            </w:pPr>
            <w:r>
              <w:rPr>
                <w:rFonts w:ascii="Times New Roman" w:hAnsi="Times New Roman"/>
                <w:color w:val="000000"/>
              </w:rPr>
              <w:t xml:space="preserve">9.07 yr</w:t>
            </w:r>
          </w:p>
        </w:tc>
        <w:tc>
          <w:tcPr/>
          <w:p>
            <w:pPr>
              <w:pStyle w:val="Compact"/>
              <w:spacing w:line="240" w:lineRule="auto"/>
            </w:pPr>
            <w:r>
              <w:rPr>
                <w:rFonts w:ascii="Times New Roman" w:hAnsi="Times New Roman"/>
                <w:color w:val="000000"/>
              </w:rPr>
              <w:t xml:space="preserve">BI-ANNUAL</w:t>
            </w:r>
          </w:p>
        </w:tc>
      </w:tr>
      <w:tr>
        <w:tc>
          <w:tcPr/>
          <w:p>
            <w:pPr>
              <w:pStyle w:val="Compact"/>
              <w:spacing w:line="240" w:lineRule="auto"/>
            </w:pPr>
            <w:r>
              <w:rPr>
                <w:rFonts w:ascii="Times New Roman" w:hAnsi="Times New Roman"/>
                <w:color w:val="000000"/>
              </w:rPr>
              <w:t xml:space="preserve">Seoul</w:t>
            </w:r>
          </w:p>
        </w:tc>
        <w:tc>
          <w:tcPr/>
          <w:p>
            <w:pPr>
              <w:pStyle w:val="Compact"/>
              <w:spacing w:line="240" w:lineRule="auto"/>
            </w:pPr>
            <w:r>
              <w:rPr>
                <w:rFonts w:ascii="Times New Roman" w:hAnsi="Times New Roman"/>
                <w:color w:val="000000"/>
              </w:rPr>
              <w:t xml:space="preserve">0.50</w:t>
            </w:r>
          </w:p>
        </w:tc>
        <w:tc>
          <w:tcPr/>
          <w:p>
            <w:pPr>
              <w:pStyle w:val="Compact"/>
              <w:spacing w:line="240" w:lineRule="auto"/>
            </w:pPr>
            <w:r>
              <w:rPr>
                <w:rFonts w:ascii="Times New Roman" w:hAnsi="Times New Roman"/>
                <w:color w:val="000000"/>
              </w:rPr>
              <w:t xml:space="preserve">25.5</w:t>
            </w:r>
          </w:p>
        </w:tc>
        <w:tc>
          <w:tcPr/>
          <w:p>
            <w:pPr>
              <w:pStyle w:val="Compact"/>
              <w:spacing w:line="240" w:lineRule="auto"/>
            </w:pPr>
            <w:r>
              <w:rPr>
                <w:rFonts w:ascii="Times New Roman" w:hAnsi="Times New Roman"/>
                <w:color w:val="000000"/>
              </w:rPr>
              <w:t xml:space="preserve">2.13</w:t>
            </w:r>
          </w:p>
        </w:tc>
        <w:tc>
          <w:tcPr/>
          <w:p>
            <w:pPr>
              <w:pStyle w:val="Compact"/>
              <w:spacing w:line="240" w:lineRule="auto"/>
            </w:pPr>
            <w:r>
              <w:rPr>
                <w:rFonts w:ascii="Times New Roman" w:hAnsi="Times New Roman"/>
                <w:color w:val="000000"/>
              </w:rPr>
              <w:t xml:space="preserve">1.06 yr</w:t>
            </w:r>
          </w:p>
        </w:tc>
        <w:tc>
          <w:tcPr/>
          <w:p>
            <w:pPr>
              <w:pStyle w:val="Compact"/>
              <w:spacing w:line="240" w:lineRule="auto"/>
            </w:pPr>
            <w:r>
              <w:rPr>
                <w:rFonts w:ascii="Times New Roman" w:hAnsi="Times New Roman"/>
                <w:color w:val="000000"/>
              </w:rPr>
              <w:t xml:space="preserve">ANNUAL</w:t>
            </w:r>
          </w:p>
        </w:tc>
      </w:tr>
      <w:tr>
        <w:tc>
          <w:tcPr/>
          <w:p>
            <w:pPr>
              <w:pStyle w:val="Compact"/>
              <w:spacing w:line="240" w:lineRule="auto"/>
            </w:pPr>
            <w:r>
              <w:rPr>
                <w:rFonts w:ascii="Times New Roman" w:hAnsi="Times New Roman"/>
                <w:color w:val="000000"/>
              </w:rPr>
              <w:t xml:space="preserve">Seoul</w:t>
            </w:r>
          </w:p>
        </w:tc>
        <w:tc>
          <w:tcPr/>
          <w:p>
            <w:pPr>
              <w:pStyle w:val="Compact"/>
              <w:spacing w:line="240" w:lineRule="auto"/>
            </w:pPr>
            <w:r>
              <w:rPr>
                <w:rFonts w:ascii="Times New Roman" w:hAnsi="Times New Roman"/>
                <w:color w:val="000000"/>
              </w:rPr>
              <w:t xml:space="preserve">0.60</w:t>
            </w:r>
          </w:p>
        </w:tc>
        <w:tc>
          <w:tcPr/>
          <w:p>
            <w:pPr>
              <w:pStyle w:val="Compact"/>
              <w:spacing w:line="240" w:lineRule="auto"/>
            </w:pPr>
            <w:r>
              <w:rPr>
                <w:rFonts w:ascii="Times New Roman" w:hAnsi="Times New Roman"/>
                <w:color w:val="000000"/>
              </w:rPr>
              <w:t xml:space="preserve">9.5</w:t>
            </w:r>
          </w:p>
        </w:tc>
        <w:tc>
          <w:tcPr/>
          <w:p>
            <w:pPr>
              <w:pStyle w:val="Compact"/>
              <w:spacing w:line="240" w:lineRule="auto"/>
            </w:pPr>
            <w:r>
              <w:rPr>
                <w:rFonts w:ascii="Times New Roman" w:hAnsi="Times New Roman"/>
                <w:color w:val="000000"/>
              </w:rPr>
              <w:t xml:space="preserve">0.40</w:t>
            </w:r>
          </w:p>
        </w:tc>
        <w:tc>
          <w:tcPr/>
          <w:p>
            <w:pPr>
              <w:pStyle w:val="Compact"/>
              <w:spacing w:line="240" w:lineRule="auto"/>
            </w:pPr>
            <w:r>
              <w:rPr>
                <w:rFonts w:ascii="Times New Roman" w:hAnsi="Times New Roman"/>
                <w:color w:val="000000"/>
              </w:rPr>
              <w:t xml:space="preserve">0.20 yr</w:t>
            </w:r>
          </w:p>
        </w:tc>
        <w:tc>
          <w:tcPr/>
          <w:p>
            <w:pPr>
              <w:pStyle w:val="Compact"/>
              <w:spacing w:line="240" w:lineRule="auto"/>
            </w:pPr>
            <w:r>
              <w:rPr>
                <w:rFonts w:ascii="Times New Roman" w:hAnsi="Times New Roman"/>
                <w:color w:val="000000"/>
              </w:rPr>
              <w:t xml:space="preserve">REMOVE (urgent)</w:t>
            </w:r>
          </w:p>
        </w:tc>
      </w:tr>
      <w:tr>
        <w:tc>
          <w:tcPr/>
          <w:p>
            <w:pPr>
              <w:pStyle w:val="Compact"/>
              <w:spacing w:line="240" w:lineRule="auto"/>
            </w:pPr>
            <w:r>
              <w:rPr>
                <w:rFonts w:ascii="Times New Roman" w:hAnsi="Times New Roman"/>
                <w:color w:val="000000"/>
              </w:rPr>
              <w:t xml:space="preserve">Seoul</w:t>
            </w:r>
          </w:p>
        </w:tc>
        <w:tc>
          <w:tcPr/>
          <w:p>
            <w:pPr>
              <w:pStyle w:val="Compact"/>
              <w:spacing w:line="240" w:lineRule="auto"/>
            </w:pPr>
            <w:r>
              <w:rPr>
                <w:rFonts w:ascii="Times New Roman" w:hAnsi="Times New Roman"/>
                <w:color w:val="000000"/>
              </w:rPr>
              <w:t xml:space="preserve">0.70</w:t>
            </w:r>
          </w:p>
        </w:tc>
        <w:tc>
          <w:tcPr/>
          <w:p>
            <w:pPr>
              <w:pStyle w:val="Compact"/>
              <w:spacing w:line="240" w:lineRule="auto"/>
            </w:pPr>
            <w:r>
              <w:rPr>
                <w:rFonts w:ascii="Times New Roman" w:hAnsi="Times New Roman"/>
                <w:color w:val="000000"/>
              </w:rPr>
              <w:t xml:space="preserve">1.7</w:t>
            </w:r>
          </w:p>
        </w:tc>
        <w:tc>
          <w:tcPr/>
          <w:p>
            <w:pPr>
              <w:pStyle w:val="Compact"/>
              <w:spacing w:line="240" w:lineRule="auto"/>
            </w:pPr>
            <w:r>
              <w:rPr>
                <w:rFonts w:ascii="Times New Roman" w:hAnsi="Times New Roman"/>
                <w:color w:val="000000"/>
              </w:rPr>
              <w:t xml:space="preserve">0.04</w:t>
            </w:r>
          </w:p>
        </w:tc>
        <w:tc>
          <w:tcPr/>
          <w:p>
            <w:pPr>
              <w:pStyle w:val="Compact"/>
              <w:spacing w:line="240" w:lineRule="auto"/>
            </w:pPr>
            <w:r>
              <w:rPr>
                <w:rFonts w:ascii="Times New Roman" w:hAnsi="Times New Roman"/>
                <w:color w:val="000000"/>
              </w:rPr>
              <w:t xml:space="preserve">&lt; 0.1 yr</w:t>
            </w:r>
          </w:p>
        </w:tc>
        <w:tc>
          <w:tcPr/>
          <w:p>
            <w:pPr>
              <w:pStyle w:val="Compact"/>
              <w:spacing w:line="240" w:lineRule="auto"/>
            </w:pPr>
            <w:r>
              <w:rPr>
                <w:rFonts w:ascii="Times New Roman" w:hAnsi="Times New Roman"/>
                <w:color w:val="000000"/>
              </w:rPr>
              <w:t xml:space="preserve">REMOVE (immediate)</w:t>
            </w:r>
          </w:p>
        </w:tc>
      </w:tr>
      <w:tr>
        <w:tc>
          <w:tcPr/>
          <w:p>
            <w:pPr>
              <w:pStyle w:val="Compact"/>
              <w:spacing w:line="240" w:lineRule="auto"/>
            </w:pPr>
            <w:r>
              <w:rPr>
                <w:rFonts w:ascii="Times New Roman" w:hAnsi="Times New Roman"/>
                <w:color w:val="000000"/>
              </w:rPr>
              <w:t xml:space="preserve">Incheon</w:t>
            </w:r>
          </w:p>
        </w:tc>
        <w:tc>
          <w:tcPr/>
          <w:p>
            <w:pPr>
              <w:pStyle w:val="Compact"/>
              <w:spacing w:line="240" w:lineRule="auto"/>
            </w:pPr>
            <w:r>
              <w:rPr>
                <w:rFonts w:ascii="Times New Roman" w:hAnsi="Times New Roman"/>
                <w:color w:val="000000"/>
              </w:rPr>
              <w:t xml:space="preserve">0.30</w:t>
            </w:r>
          </w:p>
        </w:tc>
        <w:tc>
          <w:tcPr/>
          <w:p>
            <w:pPr>
              <w:pStyle w:val="Compact"/>
              <w:spacing w:line="240" w:lineRule="auto"/>
            </w:pPr>
            <w:r>
              <w:rPr>
                <w:rFonts w:ascii="Times New Roman" w:hAnsi="Times New Roman"/>
                <w:color w:val="000000"/>
              </w:rPr>
              <w:t xml:space="preserve">22.7</w:t>
            </w:r>
          </w:p>
        </w:tc>
        <w:tc>
          <w:tcPr/>
          <w:p>
            <w:pPr>
              <w:pStyle w:val="Compact"/>
              <w:spacing w:line="240" w:lineRule="auto"/>
            </w:pPr>
            <w:r>
              <w:rPr>
                <w:rFonts w:ascii="Times New Roman" w:hAnsi="Times New Roman"/>
                <w:color w:val="000000"/>
              </w:rPr>
              <w:t xml:space="preserve">7.73</w:t>
            </w:r>
          </w:p>
        </w:tc>
        <w:tc>
          <w:tcPr/>
          <w:p>
            <w:pPr>
              <w:pStyle w:val="Compact"/>
              <w:spacing w:line="240" w:lineRule="auto"/>
            </w:pPr>
            <w:r>
              <w:rPr>
                <w:rFonts w:ascii="Times New Roman" w:hAnsi="Times New Roman"/>
                <w:color w:val="000000"/>
              </w:rPr>
              <w:t xml:space="preserve">3.86 yr</w:t>
            </w:r>
          </w:p>
        </w:tc>
        <w:tc>
          <w:tcPr/>
          <w:p>
            <w:pPr>
              <w:pStyle w:val="Compact"/>
              <w:spacing w:line="240" w:lineRule="auto"/>
            </w:pPr>
            <w:r>
              <w:rPr>
                <w:rFonts w:ascii="Times New Roman" w:hAnsi="Times New Roman"/>
                <w:color w:val="000000"/>
              </w:rPr>
              <w:t xml:space="preserve">BI-ANNUAL</w:t>
            </w:r>
          </w:p>
        </w:tc>
      </w:tr>
      <w:tr>
        <w:tc>
          <w:tcPr/>
          <w:p>
            <w:pPr>
              <w:pStyle w:val="Compact"/>
              <w:spacing w:line="240" w:lineRule="auto"/>
            </w:pPr>
            <w:r>
              <w:rPr>
                <w:rFonts w:ascii="Times New Roman" w:hAnsi="Times New Roman"/>
                <w:color w:val="000000"/>
              </w:rPr>
              <w:t xml:space="preserve">Incheon</w:t>
            </w:r>
          </w:p>
        </w:tc>
        <w:tc>
          <w:tcPr/>
          <w:p>
            <w:pPr>
              <w:pStyle w:val="Compact"/>
              <w:spacing w:line="240" w:lineRule="auto"/>
            </w:pPr>
            <w:r>
              <w:rPr>
                <w:rFonts w:ascii="Times New Roman" w:hAnsi="Times New Roman"/>
                <w:color w:val="000000"/>
              </w:rPr>
              <w:t xml:space="preserve">0.50</w:t>
            </w:r>
          </w:p>
        </w:tc>
        <w:tc>
          <w:tcPr/>
          <w:p>
            <w:pPr>
              <w:pStyle w:val="Compact"/>
              <w:spacing w:line="240" w:lineRule="auto"/>
            </w:pPr>
            <w:r>
              <w:rPr>
                <w:rFonts w:ascii="Times New Roman" w:hAnsi="Times New Roman"/>
                <w:color w:val="000000"/>
              </w:rPr>
              <w:t xml:space="preserve">10.9</w:t>
            </w:r>
          </w:p>
        </w:tc>
        <w:tc>
          <w:tcPr/>
          <w:p>
            <w:pPr>
              <w:pStyle w:val="Compact"/>
              <w:spacing w:line="240" w:lineRule="auto"/>
            </w:pPr>
            <w:r>
              <w:rPr>
                <w:rFonts w:ascii="Times New Roman" w:hAnsi="Times New Roman"/>
                <w:color w:val="000000"/>
              </w:rPr>
              <w:t xml:space="preserve">0.91</w:t>
            </w:r>
          </w:p>
        </w:tc>
        <w:tc>
          <w:tcPr/>
          <w:p>
            <w:pPr>
              <w:pStyle w:val="Compact"/>
              <w:spacing w:line="240" w:lineRule="auto"/>
            </w:pPr>
            <w:r>
              <w:rPr>
                <w:rFonts w:ascii="Times New Roman" w:hAnsi="Times New Roman"/>
                <w:color w:val="000000"/>
              </w:rPr>
              <w:t xml:space="preserve">0.45 yr</w:t>
            </w:r>
          </w:p>
        </w:tc>
        <w:tc>
          <w:tcPr/>
          <w:p>
            <w:pPr>
              <w:pStyle w:val="Compact"/>
              <w:spacing w:line="240" w:lineRule="auto"/>
            </w:pPr>
            <w:r>
              <w:rPr>
                <w:rFonts w:ascii="Times New Roman" w:hAnsi="Times New Roman"/>
                <w:color w:val="000000"/>
              </w:rPr>
              <w:t xml:space="preserve">REMOVE (urgent)</w:t>
            </w:r>
          </w:p>
        </w:tc>
      </w:tr>
      <w:tr>
        <w:tc>
          <w:tcPr/>
          <w:p>
            <w:pPr>
              <w:pStyle w:val="Compact"/>
              <w:spacing w:line="240" w:lineRule="auto"/>
            </w:pPr>
            <w:r>
              <w:rPr>
                <w:rFonts w:ascii="Times New Roman" w:hAnsi="Times New Roman"/>
                <w:color w:val="000000"/>
              </w:rPr>
              <w:t xml:space="preserve">Incheon</w:t>
            </w:r>
          </w:p>
        </w:tc>
        <w:tc>
          <w:tcPr/>
          <w:p>
            <w:pPr>
              <w:pStyle w:val="Compact"/>
              <w:spacing w:line="240" w:lineRule="auto"/>
            </w:pPr>
            <w:r>
              <w:rPr>
                <w:rFonts w:ascii="Times New Roman" w:hAnsi="Times New Roman"/>
                <w:color w:val="000000"/>
              </w:rPr>
              <w:t xml:space="preserve">0.70</w:t>
            </w:r>
          </w:p>
        </w:tc>
        <w:tc>
          <w:tcPr/>
          <w:p>
            <w:pPr>
              <w:pStyle w:val="Compact"/>
              <w:spacing w:line="240" w:lineRule="auto"/>
            </w:pPr>
            <w:r>
              <w:rPr>
                <w:rFonts w:ascii="Times New Roman" w:hAnsi="Times New Roman"/>
                <w:color w:val="000000"/>
              </w:rPr>
              <w:t xml:space="preserve">0.7</w:t>
            </w:r>
          </w:p>
        </w:tc>
        <w:tc>
          <w:tcPr/>
          <w:p>
            <w:pPr>
              <w:pStyle w:val="Compact"/>
              <w:spacing w:line="240" w:lineRule="auto"/>
            </w:pPr>
            <w:r>
              <w:rPr>
                <w:rFonts w:ascii="Times New Roman" w:hAnsi="Times New Roman"/>
                <w:color w:val="000000"/>
              </w:rPr>
              <w:t xml:space="preserve">0.02</w:t>
            </w:r>
          </w:p>
        </w:tc>
        <w:tc>
          <w:tcPr/>
          <w:p>
            <w:pPr>
              <w:pStyle w:val="Compact"/>
              <w:spacing w:line="240" w:lineRule="auto"/>
            </w:pPr>
            <w:r>
              <w:rPr>
                <w:rFonts w:ascii="Times New Roman" w:hAnsi="Times New Roman"/>
                <w:color w:val="000000"/>
              </w:rPr>
              <w:t xml:space="preserve">&lt; 0.1 yr</w:t>
            </w:r>
          </w:p>
        </w:tc>
        <w:tc>
          <w:tcPr/>
          <w:p>
            <w:pPr>
              <w:pStyle w:val="Compact"/>
              <w:spacing w:line="240" w:lineRule="auto"/>
            </w:pPr>
            <w:r>
              <w:rPr>
                <w:rFonts w:ascii="Times New Roman" w:hAnsi="Times New Roman"/>
                <w:color w:val="000000"/>
              </w:rPr>
              <w:t xml:space="preserve">REMOVE (immediate)</w:t>
            </w:r>
          </w:p>
        </w:tc>
      </w:tr>
      <w:tr>
        <w:tc>
          <w:tcPr/>
          <w:p>
            <w:pPr>
              <w:pStyle w:val="Compact"/>
              <w:spacing w:line="240" w:lineRule="auto"/>
            </w:pPr>
            <w:r>
              <w:rPr>
                <w:rFonts w:ascii="Times New Roman" w:hAnsi="Times New Roman"/>
                <w:color w:val="000000"/>
              </w:rPr>
              <w:t xml:space="preserve">Jeju</w:t>
            </w:r>
          </w:p>
        </w:tc>
        <w:tc>
          <w:tcPr/>
          <w:p>
            <w:pPr>
              <w:pStyle w:val="Compact"/>
              <w:spacing w:line="240" w:lineRule="auto"/>
            </w:pPr>
            <w:r>
              <w:rPr>
                <w:rFonts w:ascii="Times New Roman" w:hAnsi="Times New Roman"/>
                <w:color w:val="000000"/>
              </w:rPr>
              <w:t xml:space="preserve">0.30</w:t>
            </w:r>
          </w:p>
        </w:tc>
        <w:tc>
          <w:tcPr/>
          <w:p>
            <w:pPr>
              <w:pStyle w:val="Compact"/>
              <w:spacing w:line="240" w:lineRule="auto"/>
            </w:pPr>
            <w:r>
              <w:rPr>
                <w:rFonts w:ascii="Times New Roman" w:hAnsi="Times New Roman"/>
                <w:color w:val="000000"/>
              </w:rPr>
              <w:t xml:space="preserve">16.1</w:t>
            </w:r>
          </w:p>
        </w:tc>
        <w:tc>
          <w:tcPr/>
          <w:p>
            <w:pPr>
              <w:pStyle w:val="Compact"/>
              <w:spacing w:line="240" w:lineRule="auto"/>
            </w:pPr>
            <w:r>
              <w:rPr>
                <w:rFonts w:ascii="Times New Roman" w:hAnsi="Times New Roman"/>
                <w:color w:val="000000"/>
              </w:rPr>
              <w:t xml:space="preserve">5.51</w:t>
            </w:r>
          </w:p>
        </w:tc>
        <w:tc>
          <w:tcPr/>
          <w:p>
            <w:pPr>
              <w:pStyle w:val="Compact"/>
              <w:spacing w:line="240" w:lineRule="auto"/>
            </w:pPr>
            <w:r>
              <w:rPr>
                <w:rFonts w:ascii="Times New Roman" w:hAnsi="Times New Roman"/>
                <w:color w:val="000000"/>
              </w:rPr>
              <w:t xml:space="preserve">2.75 yr</w:t>
            </w:r>
          </w:p>
        </w:tc>
        <w:tc>
          <w:tcPr/>
          <w:p>
            <w:pPr>
              <w:pStyle w:val="Compact"/>
              <w:spacing w:line="240" w:lineRule="auto"/>
            </w:pPr>
            <w:r>
              <w:rPr>
                <w:rFonts w:ascii="Times New Roman" w:hAnsi="Times New Roman"/>
                <w:color w:val="000000"/>
              </w:rPr>
              <w:t xml:space="preserve">BI-ANNUAL</w:t>
            </w:r>
          </w:p>
        </w:tc>
      </w:tr>
      <w:tr>
        <w:tc>
          <w:tcPr/>
          <w:p>
            <w:pPr>
              <w:pStyle w:val="Compact"/>
              <w:spacing w:line="240" w:lineRule="auto"/>
            </w:pPr>
            <w:r>
              <w:rPr>
                <w:rFonts w:ascii="Times New Roman" w:hAnsi="Times New Roman"/>
                <w:color w:val="000000"/>
              </w:rPr>
              <w:t xml:space="preserve">Jeju</w:t>
            </w:r>
          </w:p>
        </w:tc>
        <w:tc>
          <w:tcPr/>
          <w:p>
            <w:pPr>
              <w:pStyle w:val="Compact"/>
              <w:spacing w:line="240" w:lineRule="auto"/>
            </w:pPr>
            <w:r>
              <w:rPr>
                <w:rFonts w:ascii="Times New Roman" w:hAnsi="Times New Roman"/>
                <w:color w:val="000000"/>
              </w:rPr>
              <w:t xml:space="preserve">0.50</w:t>
            </w:r>
          </w:p>
        </w:tc>
        <w:tc>
          <w:tcPr/>
          <w:p>
            <w:pPr>
              <w:pStyle w:val="Compact"/>
              <w:spacing w:line="240" w:lineRule="auto"/>
            </w:pPr>
            <w:r>
              <w:rPr>
                <w:rFonts w:ascii="Times New Roman" w:hAnsi="Times New Roman"/>
                <w:color w:val="000000"/>
              </w:rPr>
              <w:t xml:space="preserve">7.7</w:t>
            </w:r>
          </w:p>
        </w:tc>
        <w:tc>
          <w:tcPr/>
          <w:p>
            <w:pPr>
              <w:pStyle w:val="Compact"/>
              <w:spacing w:line="240" w:lineRule="auto"/>
            </w:pPr>
            <w:r>
              <w:rPr>
                <w:rFonts w:ascii="Times New Roman" w:hAnsi="Times New Roman"/>
                <w:color w:val="000000"/>
              </w:rPr>
              <w:t xml:space="preserve">0.65</w:t>
            </w:r>
          </w:p>
        </w:tc>
        <w:tc>
          <w:tcPr/>
          <w:p>
            <w:pPr>
              <w:pStyle w:val="Compact"/>
              <w:spacing w:line="240" w:lineRule="auto"/>
            </w:pPr>
            <w:r>
              <w:rPr>
                <w:rFonts w:ascii="Times New Roman" w:hAnsi="Times New Roman"/>
                <w:color w:val="000000"/>
              </w:rPr>
              <w:t xml:space="preserve">0.32 yr</w:t>
            </w:r>
          </w:p>
        </w:tc>
        <w:tc>
          <w:tcPr/>
          <w:p>
            <w:pPr>
              <w:pStyle w:val="Compact"/>
              <w:spacing w:line="240" w:lineRule="auto"/>
            </w:pPr>
            <w:r>
              <w:rPr>
                <w:rFonts w:ascii="Times New Roman" w:hAnsi="Times New Roman"/>
                <w:color w:val="000000"/>
              </w:rPr>
              <w:t xml:space="preserve">REMOVE (urgent)</w:t>
            </w:r>
          </w:p>
        </w:tc>
      </w:tr>
      <w:tr>
        <w:tc>
          <w:tcPr/>
          <w:p>
            <w:pPr>
              <w:pStyle w:val="Compact"/>
              <w:spacing w:line="240" w:lineRule="auto"/>
            </w:pPr>
            <w:r>
              <w:rPr>
                <w:rFonts w:ascii="Times New Roman" w:hAnsi="Times New Roman"/>
                <w:color w:val="000000"/>
              </w:rPr>
              <w:t xml:space="preserve">Jeju</w:t>
            </w:r>
          </w:p>
        </w:tc>
        <w:tc>
          <w:tcPr/>
          <w:p>
            <w:pPr>
              <w:pStyle w:val="Compact"/>
              <w:spacing w:line="240" w:lineRule="auto"/>
            </w:pPr>
            <w:r>
              <w:rPr>
                <w:rFonts w:ascii="Times New Roman" w:hAnsi="Times New Roman"/>
                <w:color w:val="000000"/>
              </w:rPr>
              <w:t xml:space="preserve">0.70</w:t>
            </w:r>
          </w:p>
        </w:tc>
        <w:tc>
          <w:tcPr/>
          <w:p>
            <w:pPr>
              <w:pStyle w:val="Compact"/>
              <w:spacing w:line="240" w:lineRule="auto"/>
            </w:pPr>
            <w:r>
              <w:rPr>
                <w:rFonts w:ascii="Times New Roman" w:hAnsi="Times New Roman"/>
                <w:color w:val="000000"/>
              </w:rPr>
              <w:t xml:space="preserve">0.5</w:t>
            </w:r>
          </w:p>
        </w:tc>
        <w:tc>
          <w:tcPr/>
          <w:p>
            <w:pPr>
              <w:pStyle w:val="Compact"/>
              <w:spacing w:line="240" w:lineRule="auto"/>
            </w:pPr>
            <w:r>
              <w:rPr>
                <w:rFonts w:ascii="Times New Roman" w:hAnsi="Times New Roman"/>
                <w:color w:val="000000"/>
              </w:rPr>
              <w:t xml:space="preserve">0.01</w:t>
            </w:r>
          </w:p>
        </w:tc>
        <w:tc>
          <w:tcPr/>
          <w:p>
            <w:pPr>
              <w:pStyle w:val="Compact"/>
              <w:spacing w:line="240" w:lineRule="auto"/>
            </w:pPr>
            <w:r>
              <w:rPr>
                <w:rFonts w:ascii="Times New Roman" w:hAnsi="Times New Roman"/>
                <w:color w:val="000000"/>
              </w:rPr>
              <w:t xml:space="preserve">&lt; 0.1 yr</w:t>
            </w:r>
          </w:p>
        </w:tc>
        <w:tc>
          <w:tcPr/>
          <w:p>
            <w:pPr>
              <w:pStyle w:val="Compact"/>
              <w:spacing w:line="240" w:lineRule="auto"/>
            </w:pPr>
            <w:r>
              <w:rPr>
                <w:rFonts w:ascii="Times New Roman" w:hAnsi="Times New Roman"/>
                <w:color w:val="000000"/>
              </w:rPr>
              <w:t xml:space="preserve">REMOVE (immediate)</w:t>
            </w:r>
          </w:p>
        </w:tc>
      </w:tr>
    </w:tbl>
    <w:p>
      <w:pPr>
        <w:spacing w:line="480" w:lineRule="auto"/>
      </w:pPr>
      <w:r>
        <w:rPr>
          <w:rFonts w:ascii="Times New Roman" w:hAnsi="Times New Roman" w:cs="Times New Roman"/>
          <w:color w:val="000000"/>
          <w:sz w:val="24"/>
        </w:rPr>
        <w:pict>
          <v:rect style="width:0;height:1.5pt" o:hralign="center" o:hrstd="t" o:hr="t"/>
        </w:pict>
      </w:r>
    </w:p>
    <w:bookmarkEnd w:id="28"/>
    <w:bookmarkEnd w:id="29"/>
    <w:bookmarkStart w:id="36" w:name="discussion"/>
    <w:p>
      <w:pPr>
        <w:pStyle w:val="Heading2"/>
        <w:spacing w:line="480" w:lineRule="auto"/>
      </w:pPr>
      <w:r>
        <w:rPr>
          <w:rFonts w:ascii="Times New Roman" w:hAnsi="Times New Roman" w:cs="Times New Roman"/>
          <w:b/>
          <w:color w:val="000000"/>
          <w:sz w:val="24"/>
        </w:rPr>
        <w:t xml:space="preserve">4. Discussion</w:t>
      </w:r>
    </w:p>
    <w:bookmarkStart w:id="30" w:name="Xa2da0b86567bcf9bf821c4b81b1ffbb7215e8c8"/>
    <w:p>
      <w:pPr>
        <w:pStyle w:val="Heading3"/>
        <w:spacing w:line="480" w:lineRule="auto"/>
      </w:pPr>
      <w:r>
        <w:rPr>
          <w:rFonts w:ascii="Times New Roman" w:hAnsi="Times New Roman" w:cs="Times New Roman"/>
          <w:b/>
          <w:color w:val="000000"/>
          <w:sz w:val="24"/>
        </w:rPr>
        <w:t xml:space="preserve">4.1 Why eccentricity matters more than wind direction</w:t>
      </w:r>
    </w:p>
    <w:p>
      <w:pPr>
        <w:pStyle w:val="FirstParagraph"/>
        <w:spacing w:line="480" w:lineRule="auto"/>
      </w:pPr>
      <w:r>
        <w:rPr>
          <w:rFonts w:ascii="Times New Roman" w:hAnsi="Times New Roman" w:cs="Times New Roman"/>
          <w:color w:val="000000"/>
          <w:sz w:val="24"/>
        </w:rPr>
        <w:t xml:space="preserve">The single most counter-intuitive result of this study is the wind-direction collapse: under the prior</w:t>
      </w:r>
      <w:r>
        <w:rPr>
          <w:rFonts w:ascii="Times New Roman" w:hAnsi="Times New Roman" w:cs="Times New Roman"/>
          <w:color w:val="000000"/>
          <w:sz w:val="24"/>
        </w:rPr>
        <w:t xml:space="preserve"> </w:t>
      </w:r>
      <m:oMath>
        <m:sSub>
          <m:e>
            <m:r>
              <m:t>θ</m:t>
            </m:r>
          </m:e>
          <m:sub>
            <m:r>
              <m:t>e</m:t>
            </m:r>
          </m:sub>
        </m:sSub>
        <m:r>
          <m:rPr>
            <m:sty m:val="p"/>
          </m:rPr>
          <m:t>∼</m:t>
        </m:r>
        <m:r>
          <m:t>U</m:t>
        </m:r>
        <m:r>
          <m:rPr>
            <m:sty m:val="p"/>
          </m:rPr>
          <m:t>[</m:t>
        </m:r>
        <m:r>
          <m:t>0</m:t>
        </m:r>
        <m:r>
          <m:rPr>
            <m:sty m:val="p"/>
          </m:rPr>
          <m:t>,</m:t>
        </m:r>
        <m:r>
          <m:t>2</m:t>
        </m:r>
        <m:r>
          <m:t>π</m:t>
        </m:r>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on cavity offset direction, the marginal distribution of wind direction</w:t>
      </w:r>
      <w:r>
        <w:rPr>
          <w:rFonts w:ascii="Times New Roman" w:hAnsi="Times New Roman" w:cs="Times New Roman"/>
          <w:color w:val="000000"/>
          <w:sz w:val="24"/>
        </w:rPr>
        <w:t xml:space="preserve"> </w:t>
      </w:r>
      <m:oMath>
        <m:sSub>
          <m:e>
            <m:r>
              <m:t>θ</m:t>
            </m:r>
          </m:e>
          <m:sub>
            <m:r>
              <m:t>w</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has no effect on the life-ratio distribution. The mathematical content is straightforward — independence and uniformity of</w:t>
      </w:r>
      <w:r>
        <w:rPr>
          <w:rFonts w:ascii="Times New Roman" w:hAnsi="Times New Roman" w:cs="Times New Roman"/>
          <w:color w:val="000000"/>
          <w:sz w:val="24"/>
        </w:rPr>
        <w:t xml:space="preserve"> </w:t>
      </w:r>
      <m:oMath>
        <m:sSub>
          <m:e>
            <m:r>
              <m:t>θ</m:t>
            </m:r>
          </m:e>
          <m:sub>
            <m:r>
              <m:t>e</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make the joint distribution of</w:t>
      </w:r>
      <w:r>
        <w:rPr>
          <w:rFonts w:ascii="Times New Roman" w:hAnsi="Times New Roman" w:cs="Times New Roman"/>
          <w:color w:val="000000"/>
          <w:sz w:val="24"/>
        </w:rPr>
        <w:t xml:space="preserve"> </w:t>
      </w:r>
      <m:oMath>
        <m:r>
          <m:rPr>
            <m:sty m:val="p"/>
          </m:rPr>
          <m:t>(</m:t>
        </m:r>
        <m:sSub>
          <m:e>
            <m:r>
              <m:t>θ</m:t>
            </m:r>
          </m:e>
          <m:sub>
            <m:r>
              <m:t>w</m:t>
            </m:r>
          </m:sub>
        </m:sSub>
        <m:r>
          <m:rPr>
            <m:sty m:val="p"/>
          </m:rPr>
          <m:t>−</m:t>
        </m:r>
        <m:sSub>
          <m:e>
            <m:r>
              <m:t>θ</m:t>
            </m:r>
          </m:e>
          <m:sub>
            <m:r>
              <m:t>e</m:t>
            </m:r>
          </m:sub>
        </m:sSub>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uniform regardless of</w:t>
      </w:r>
      <w:r>
        <w:rPr>
          <w:rFonts w:ascii="Times New Roman" w:hAnsi="Times New Roman" w:cs="Times New Roman"/>
          <w:color w:val="000000"/>
          <w:sz w:val="24"/>
        </w:rPr>
        <w:t xml:space="preserve"> </w:t>
      </w:r>
      <m:oMath>
        <m:r>
          <m:t>p</m:t>
        </m:r>
        <m:r>
          <m:rPr>
            <m:sty m:val="p"/>
          </m:rPr>
          <m:t>(</m:t>
        </m:r>
        <m:sSub>
          <m:e>
            <m:r>
              <m:t>θ</m:t>
            </m:r>
          </m:e>
          <m:sub>
            <m:r>
              <m:t>w</m:t>
            </m:r>
          </m:sub>
        </m:sSub>
        <m:r>
          <m:rPr>
            <m:sty m:val="p"/>
          </m:rPr>
          <m:t>)</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 but its practical implication is far-reaching. It means that for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eccentric-decay correction</w:t>
      </w:r>
      <w:r>
        <w:rPr>
          <w:rFonts w:ascii="Times New Roman" w:hAnsi="Times New Roman" w:cs="Times New Roman"/>
          <w:color w:val="000000"/>
          <w:sz w:val="24"/>
        </w:rPr>
        <w:t xml:space="preserve"> </w:t>
      </w:r>
      <w:r>
        <w:rPr>
          <w:rFonts w:ascii="Times New Roman" w:hAnsi="Times New Roman" w:cs="Times New Roman"/>
          <w:color w:val="000000"/>
          <w:sz w:val="24"/>
        </w:rPr>
        <w:t xml:space="preserve">to a fatigue-life estimate, site-specific wind-rose data are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not</w:t>
      </w:r>
      <w:r>
        <w:rPr>
          <w:rFonts w:ascii="Times New Roman" w:hAnsi="Times New Roman" w:cs="Times New Roman"/>
          <w:color w:val="000000"/>
          <w:sz w:val="24"/>
        </w:rPr>
        <w:t xml:space="preserve"> </w:t>
      </w:r>
      <w:r>
        <w:rPr>
          <w:rFonts w:ascii="Times New Roman" w:hAnsi="Times New Roman" w:cs="Times New Roman"/>
          <w:color w:val="000000"/>
          <w:sz w:val="24"/>
        </w:rPr>
        <w:t xml:space="preserve">required, and that resources are better invested in site-specific cavity-geometry data through sonic tomography or resistography. Note that this result does</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not</w:t>
      </w:r>
      <w:r>
        <w:rPr>
          <w:rFonts w:ascii="Times New Roman" w:hAnsi="Times New Roman" w:cs="Times New Roman"/>
          <w:color w:val="000000"/>
          <w:sz w:val="24"/>
        </w:rPr>
        <w:t xml:space="preserve"> </w:t>
      </w:r>
      <w:r>
        <w:rPr>
          <w:rFonts w:ascii="Times New Roman" w:hAnsi="Times New Roman" w:cs="Times New Roman"/>
          <w:color w:val="000000"/>
          <w:sz w:val="24"/>
        </w:rPr>
        <w:t xml:space="preserve">say that wind direction is irrelevant to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absolute</w:t>
      </w:r>
      <w:r>
        <w:rPr>
          <w:rFonts w:ascii="Times New Roman" w:hAnsi="Times New Roman" w:cs="Times New Roman"/>
          <w:color w:val="000000"/>
          <w:sz w:val="24"/>
        </w:rPr>
        <w:t xml:space="preserve"> </w:t>
      </w:r>
      <w:r>
        <w:rPr>
          <w:rFonts w:ascii="Times New Roman" w:hAnsi="Times New Roman" w:cs="Times New Roman"/>
          <w:color w:val="000000"/>
          <w:sz w:val="24"/>
        </w:rPr>
        <w:t xml:space="preserve">fatigue life — the calibrated concentric anchor in Paper I depends explicitly on regional Weibull parameters — only that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eccentric correction</w:t>
      </w:r>
      <w:r>
        <w:rPr>
          <w:rFonts w:ascii="Times New Roman" w:hAnsi="Times New Roman" w:cs="Times New Roman"/>
          <w:color w:val="000000"/>
          <w:sz w:val="24"/>
        </w:rPr>
        <w:t xml:space="preserve"> </w:t>
      </w:r>
      <w:r>
        <w:rPr>
          <w:rFonts w:ascii="Times New Roman" w:hAnsi="Times New Roman" w:cs="Times New Roman"/>
          <w:color w:val="000000"/>
          <w:sz w:val="24"/>
        </w:rPr>
        <w:t xml:space="preserve">on top of that anchor is direction-blind.</w:t>
      </w:r>
    </w:p>
    <w:p>
      <w:pPr>
        <w:pStyle w:val="BodyText"/>
        <w:spacing w:line="480" w:lineRule="auto"/>
      </w:pPr>
      <w:r>
        <w:rPr>
          <w:rFonts w:ascii="Times New Roman" w:hAnsi="Times New Roman" w:cs="Times New Roman"/>
          <w:color w:val="000000"/>
          <w:sz w:val="24"/>
        </w:rPr>
        <w:t xml:space="preserve">The result is, however, falsifiable: it relies on independence between cavity orientation and wind direction. Several plausible mechanisms could break this assumption. Reaction wood (compression wood in gymnosperms; tension wood in angiosperms) develops asymmetrically in response to sustained one-sided loading and may guide subsequent decay along the leeward face (Sellier and Fourcaud 2009). Conversely, prevailing-wind-induced micro-cracking on the windward side may serve as preferential entry points for fungal hyphae (Schwarze 2007). Empirical validation through a sonic-tomography campaign correlating cavity-offset direction with site-prevailing wind direction is therefore a high-value follow-on study.</w:t>
      </w:r>
    </w:p>
    <w:bookmarkEnd w:id="30"/>
    <w:bookmarkStart w:id="31" w:name="X9e9869cf43a6a5cdfac25fb36e5c48ad4bfe5df"/>
    <w:p>
      <w:pPr>
        <w:pStyle w:val="Heading3"/>
        <w:spacing w:line="480" w:lineRule="auto"/>
      </w:pPr>
      <w:r>
        <w:rPr>
          <w:rFonts w:ascii="Times New Roman" w:hAnsi="Times New Roman" w:cs="Times New Roman"/>
          <w:b/>
          <w:color w:val="000000"/>
          <w:sz w:val="24"/>
        </w:rPr>
        <w:t xml:space="preserve">4.2 Comparison with Mattheck and Breloer (1994)</w:t>
      </w:r>
    </w:p>
    <w:p>
      <w:pPr>
        <w:pStyle w:val="FirstParagraph"/>
        <w:spacing w:line="480" w:lineRule="auto"/>
      </w:pPr>
      <w:r>
        <w:rPr>
          <w:rFonts w:ascii="Times New Roman" w:hAnsi="Times New Roman" w:cs="Times New Roman"/>
          <w:color w:val="000000"/>
          <w:sz w:val="24"/>
        </w:rPr>
        <w:t xml:space="preserve">Our results are consistent with — and substantially extend — the classical</w:t>
      </w:r>
      <w:r>
        <w:rPr>
          <w:rFonts w:ascii="Times New Roman" w:hAnsi="Times New Roman" w:cs="Times New Roman"/>
          <w:color w:val="000000"/>
          <w:sz w:val="24"/>
        </w:rPr>
        <w:t xml:space="preserve"> </w:t>
      </w:r>
      <w:r>
        <w:rPr>
          <w:rFonts w:ascii="Times New Roman" w:hAnsi="Times New Roman" w:cs="Times New Roman"/>
          <w:color w:val="000000"/>
          <w:sz w:val="24"/>
        </w:rPr>
        <w:t xml:space="preserve">“20-40 % stress increase”</w:t>
      </w:r>
      <w:r>
        <w:rPr>
          <w:rFonts w:ascii="Times New Roman" w:hAnsi="Times New Roman" w:cs="Times New Roman"/>
          <w:color w:val="000000"/>
          <w:sz w:val="24"/>
        </w:rPr>
        <w:t xml:space="preserve"> </w:t>
      </w:r>
      <w:r>
        <w:rPr>
          <w:rFonts w:ascii="Times New Roman" w:hAnsi="Times New Roman" w:cs="Times New Roman"/>
          <w:color w:val="000000"/>
          <w:sz w:val="24"/>
        </w:rPr>
        <w:t xml:space="preserve">rule of thumb proposed by Mattheck and Breloer (1994) for asymmetric defects. The rule corresponds approximately to our median life ratio at moderate decay (</w:t>
      </w:r>
      <m:oMath>
        <m:sSub>
          <m:e>
            <m:r>
              <m:t>ρ</m:t>
            </m:r>
          </m:e>
          <m:sub>
            <m:r>
              <m:t>p</m:t>
            </m:r>
            <m:r>
              <m:t>50</m:t>
            </m:r>
          </m:sub>
        </m:sSub>
        <m:r>
          <m:rPr>
            <m:sty m:val="p"/>
          </m:rPr>
          <m:t>≈</m:t>
        </m:r>
        <m:r>
          <m:t>0.30</m:t>
        </m:r>
        <m:r>
          <m:rPr>
            <m:sty m:val="p"/>
          </m:rPr>
          <m:t>−</m:t>
        </m:r>
        <m:r>
          <m:t>0.45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for</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rPr>
            <m:sty m:val="p"/>
          </m:rPr>
          <m:t>[</m:t>
        </m:r>
        <m:r>
          <m:t>0.5</m:t>
        </m:r>
        <m:r>
          <m:rPr>
            <m:sty m:val="p"/>
          </m:rPr>
          <m:t>,</m:t>
        </m:r>
        <m:r>
          <m:t>0.7</m:t>
        </m:r>
        <m:r>
          <m:rPr>
            <m:sty m:val="p"/>
          </m:rPr>
          <m:t>]</m:t>
        </m:r>
      </m:oMath>
      <w:r>
        <w:rPr>
          <w:rFonts w:ascii="Times New Roman" w:hAnsi="Times New Roman" w:cs="Times New Roman"/>
          <w:color w:val="000000"/>
          <w:sz w:val="24"/>
        </w:rPr>
        <w:t xml:space="preserve">), implying a similar median stress amplification. Our distributional treatment, however, reveals two findings beyond their reach. First,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upper-tail</w:t>
      </w:r>
      <w:r>
        <w:rPr>
          <w:rFonts w:ascii="Times New Roman" w:hAnsi="Times New Roman" w:cs="Times New Roman"/>
          <w:color w:val="000000"/>
          <w:sz w:val="24"/>
        </w:rPr>
        <w:t xml:space="preserve"> </w:t>
      </w:r>
      <w:r>
        <w:rPr>
          <w:rFonts w:ascii="Times New Roman" w:hAnsi="Times New Roman" w:cs="Times New Roman"/>
          <w:color w:val="000000"/>
          <w:sz w:val="24"/>
        </w:rPr>
        <w:t xml:space="preserve">stress amplification (the bottom 5 % of the life distribution) is much more severe than 40 %: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the 5th-percentile life is 47 to 143 times shorter than the concentric estimate, depending on S-N curve. Second, the median life ratio decays rapidly with</w:t>
      </w:r>
      <w:r>
        <w:rPr>
          <w:rFonts w:ascii="Times New Roman" w:hAnsi="Times New Roman" w:cs="Times New Roman"/>
          <w:color w:val="000000"/>
          <w:sz w:val="24"/>
        </w:rPr>
        <w:t xml:space="preserve"> </w:t>
      </w:r>
      <m:oMath>
        <m:sSub>
          <m:e>
            <m:r>
              <m:t>r</m:t>
            </m:r>
          </m:e>
          <m:sub>
            <m:r>
              <m:t>d</m:t>
            </m:r>
          </m:sub>
        </m:sSub>
        <m:r>
          <m:rPr>
            <m:sty m:val="p"/>
          </m:rPr>
          <m:t>/</m:t>
        </m:r>
        <m:r>
          <m:t>R</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(from 0.67 at</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to 0.21 at 0.8), so the qualitative concentric thresholds remain valid but their quantitative interpretation needs explicit probabilistic re-statement.</w:t>
      </w:r>
    </w:p>
    <w:p>
      <w:pPr>
        <w:pStyle w:val="BodyText"/>
        <w:spacing w:line="480" w:lineRule="auto"/>
      </w:pPr>
      <w:r>
        <w:rPr>
          <w:rFonts w:ascii="Times New Roman" w:hAnsi="Times New Roman" w:cs="Times New Roman"/>
          <w:color w:val="000000"/>
          <w:sz w:val="24"/>
        </w:rPr>
        <w:t xml:space="preserve">The Mattheck</w:t>
      </w:r>
      <w:r>
        <w:rPr>
          <w:rFonts w:ascii="Times New Roman" w:hAnsi="Times New Roman" w:cs="Times New Roman"/>
          <w:color w:val="000000"/>
          <w:sz w:val="24"/>
        </w:rPr>
        <w:t xml:space="preserve"> </w:t>
      </w:r>
      <m:oMath>
        <m:r>
          <m:t>t</m:t>
        </m:r>
        <m:r>
          <m:rPr>
            <m:sty m:val="p"/>
          </m:rPr>
          <m:t>/</m:t>
        </m:r>
        <m:r>
          <m:t>R</m:t>
        </m:r>
        <m:r>
          <m:rPr>
            <m:sty m:val="p"/>
          </m:rPr>
          <m:t>=</m:t>
        </m:r>
        <m:r>
          <m:t>0.3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static-failure threshold (equivalently</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was originally derived from an entirely independent static-mechanics argument (Mattheck and Bethge 1998), and our study now finds the same threshold emerging as the inflection point at which 100 % of eccentric samples fall below the 5-year inspection cycle (Table 2). This independent corroboration of the Mattheck threshold from a probabilistic-fatigue perspective strengthens the case for its adoption as a hard intervention point in management standards.</w:t>
      </w:r>
    </w:p>
    <w:bookmarkEnd w:id="31"/>
    <w:bookmarkStart w:id="32" w:name="inspection-cycle-policy-implications"/>
    <w:p>
      <w:pPr>
        <w:pStyle w:val="Heading3"/>
        <w:spacing w:line="480" w:lineRule="auto"/>
      </w:pPr>
      <w:r>
        <w:rPr>
          <w:rFonts w:ascii="Times New Roman" w:hAnsi="Times New Roman" w:cs="Times New Roman"/>
          <w:b/>
          <w:color w:val="000000"/>
          <w:sz w:val="24"/>
        </w:rPr>
        <w:t xml:space="preserve">4.3 Inspection-cycle policy implications</w:t>
      </w:r>
    </w:p>
    <w:p>
      <w:pPr>
        <w:pStyle w:val="FirstParagraph"/>
        <w:spacing w:line="480" w:lineRule="auto"/>
      </w:pPr>
      <w:r>
        <w:rPr>
          <w:rFonts w:ascii="Times New Roman" w:hAnsi="Times New Roman" w:cs="Times New Roman"/>
          <w:color w:val="000000"/>
          <w:sz w:val="24"/>
        </w:rPr>
        <w:t xml:space="preserve">Current Korean tree-management practice (Ministry of Land, Infrastructure and Transport 2019; Korea Forest Service 2020) relies on visual inspection at fixed annual intervals, with mandatory removal triggered only by visible advanced decay. Our results show that this regime is non-conservative for any</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in coastal regions (Incheon, Jeju), and for any</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0.6</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in Seoul, when assessed against the 5th-percentile life of the eccentric-decay distribution. Concretely, at the moderate decay level</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 well below the Mattheck threshold — already 21 % of trees in Seoul, 60 % in Incheon, and 71 % in Jeju have eccentric-corrected fatigue lives shorter than the routine 5-year inspection interval.</w:t>
      </w:r>
    </w:p>
    <w:p>
      <w:pPr>
        <w:pStyle w:val="BodyText"/>
        <w:spacing w:line="480" w:lineRule="auto"/>
      </w:pPr>
      <w:r>
        <w:rPr>
          <w:rFonts w:ascii="Times New Roman" w:hAnsi="Times New Roman" w:cs="Times New Roman"/>
          <w:color w:val="000000"/>
          <w:sz w:val="24"/>
        </w:rPr>
        <w:t xml:space="preserve">We therefore recommend that the Korean Tree Risk Management standard adopt a risk-based inspection cycle keyed to the 5th-percentile lower bound:</w:t>
      </w:r>
      <w:r>
        <w:rPr>
          <w:rFonts w:ascii="Times New Roman" w:hAnsi="Times New Roman" w:cs="Times New Roman"/>
          <w:color w:val="000000"/>
          <w:sz w:val="24"/>
        </w:rPr>
        <w:t xml:space="preserve"> </w:t>
      </w:r>
      <m:oMath>
        <m:r>
          <m:rPr>
            <m:sty m:val="p"/>
          </m:rPr>
          <m:t>Δ</m:t>
        </m:r>
        <m:r>
          <m:t>t</m:t>
        </m:r>
        <m:r>
          <m:rPr>
            <m:sty m:val="p"/>
          </m:rPr>
          <m:t>=</m:t>
        </m:r>
        <m:sSub>
          <m:e>
            <m:r>
              <m:t>T</m:t>
            </m:r>
          </m:e>
          <m:sub>
            <m:r>
              <m:t>p</m:t>
            </m:r>
            <m:r>
              <m:t>5</m:t>
            </m:r>
          </m:sub>
        </m:sSub>
        <m:r>
          <m:rPr>
            <m:sty m:val="p"/>
          </m:rPr>
          <m:t>/</m:t>
        </m:r>
        <m:r>
          <m:t>2</m:t>
        </m:r>
      </m:oMath>
      <w:r>
        <w:rPr>
          <w:rFonts w:ascii="Times New Roman" w:hAnsi="Times New Roman" w:cs="Times New Roman"/>
          <w:color w:val="000000"/>
          <w:sz w:val="24"/>
        </w:rPr>
        <w:t xml:space="preserve">. The full 3-region × 5-decay matrix in Table 3 provides direct guidance; Figure 11 visualises the resulting risk categories. The cost of this revision is asymmetrically borne — additional inspection effort is required only for trees identified by tomography as having</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0.3</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 and the asymmetry favours adoption: for sound trees the inspection cycle remains the standard 5-year interval, while for decayed trees the more conservative cycle replaces a non-conservative deterministic estimate.</w:t>
      </w:r>
    </w:p>
    <w:bookmarkEnd w:id="32"/>
    <w:bookmarkStart w:id="33" w:name="backwards-compatibility-with-paper-i"/>
    <w:p>
      <w:pPr>
        <w:pStyle w:val="Heading3"/>
        <w:spacing w:line="480" w:lineRule="auto"/>
      </w:pPr>
      <w:r>
        <w:rPr>
          <w:rFonts w:ascii="Times New Roman" w:hAnsi="Times New Roman" w:cs="Times New Roman"/>
          <w:b/>
          <w:color w:val="000000"/>
          <w:sz w:val="24"/>
        </w:rPr>
        <w:t xml:space="preserve">4.4 Backwards compatibility with Paper I</w:t>
      </w:r>
    </w:p>
    <w:p>
      <w:pPr>
        <w:pStyle w:val="FirstParagraph"/>
        <w:spacing w:line="480" w:lineRule="auto"/>
      </w:pPr>
      <w:r>
        <w:rPr>
          <w:rFonts w:ascii="Times New Roman" w:hAnsi="Times New Roman" w:cs="Times New Roman"/>
          <w:color w:val="000000"/>
          <w:sz w:val="24"/>
        </w:rPr>
        <w:t xml:space="preserve">The framework developed here is fully compatible with Paper I in three concrete senses. First, the closed-form SAF reduces to the Mattheck formula in the concentric limit to machine precision (Section 3.1; Figure 1), so any concentric calculation in Paper I is reproduced exactly when our framework is invoked with</w:t>
      </w:r>
      <w:r>
        <w:rPr>
          <w:rFonts w:ascii="Times New Roman" w:hAnsi="Times New Roman" w:cs="Times New Roman"/>
          <w:color w:val="000000"/>
          <w:sz w:val="24"/>
        </w:rPr>
        <w:t xml:space="preserve"> </w:t>
      </w:r>
      <m:oMath>
        <m:sSub>
          <m:e>
            <m:r>
              <m:t>e</m:t>
            </m:r>
          </m:e>
          <m:sub>
            <m:r>
              <m:rPr>
                <m:nor/>
                <m:sty m:val="p"/>
              </m:rPr>
              <m:t>norm</m:t>
            </m:r>
          </m:sub>
        </m:sSub>
        <m:r>
          <m:rPr>
            <m:sty m:val="p"/>
          </m:rPr>
          <m:t>=</m:t>
        </m:r>
        <m:r>
          <m:t>0</m:t>
        </m:r>
      </m:oMath>
      <w:r>
        <w:rPr>
          <w:rFonts w:ascii="Times New Roman" w:hAnsi="Times New Roman" w:cs="Times New Roman"/>
          <w:color w:val="000000"/>
          <w:sz w:val="24"/>
        </w:rPr>
        <w:t xml:space="preserve">. Second, the absolute-life anchoring uses Paper I’s calibrated</w:t>
      </w:r>
      <w:r>
        <w:rPr>
          <w:rFonts w:ascii="Times New Roman" w:hAnsi="Times New Roman" w:cs="Times New Roman"/>
          <w:color w:val="000000"/>
          <w:sz w:val="24"/>
        </w:rPr>
        <w:t xml:space="preserve"> </w:t>
      </w:r>
      <m:oMath>
        <m:sSub>
          <m:e>
            <m:r>
              <m:t>T</m:t>
            </m:r>
          </m:e>
          <m:sub>
            <m:r>
              <m:rPr>
                <m:nor/>
                <m:sty m:val="p"/>
              </m:rPr>
              <m:t>conc</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values</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verbatim</w:t>
      </w:r>
      <w:r>
        <w:rPr>
          <w:rFonts w:ascii="Times New Roman" w:hAnsi="Times New Roman" w:cs="Times New Roman"/>
          <w:color w:val="000000"/>
          <w:sz w:val="24"/>
        </w:rPr>
        <w:t xml:space="preserve"> </w:t>
      </w:r>
      <w:r>
        <w:rPr>
          <w:rFonts w:ascii="Times New Roman" w:hAnsi="Times New Roman" w:cs="Times New Roman"/>
          <w:color w:val="000000"/>
          <w:sz w:val="24"/>
        </w:rPr>
        <w:t xml:space="preserve">(Section 2.5); we do not re-compute the rainflow-Miner-Weibull pipeline. Third, the eccentric correction acts as a multiplicative stress factor on the entire stress history, which is the same operator Paper I uses to scale stress amplitudes by SAF. The two papers therefore form a logically nested pair: Paper I establishes the absolute-life pipeline; the present paper supplies the geometry-uncertainty correction that maps Paper I’s deterministic point estimates onto probabilistic confidence intervals.</w:t>
      </w:r>
    </w:p>
    <w:bookmarkEnd w:id="33"/>
    <w:bookmarkStart w:id="34" w:name="limitations"/>
    <w:p>
      <w:pPr>
        <w:pStyle w:val="Heading3"/>
        <w:spacing w:line="480" w:lineRule="auto"/>
      </w:pPr>
      <w:r>
        <w:rPr>
          <w:rFonts w:ascii="Times New Roman" w:hAnsi="Times New Roman" w:cs="Times New Roman"/>
          <w:b/>
          <w:color w:val="000000"/>
          <w:sz w:val="24"/>
        </w:rPr>
        <w:t xml:space="preserve">4.5 Limitations</w:t>
      </w:r>
    </w:p>
    <w:p>
      <w:pPr>
        <w:pStyle w:val="FirstParagraph"/>
        <w:spacing w:line="480" w:lineRule="auto"/>
      </w:pPr>
      <w:r>
        <w:rPr>
          <w:rFonts w:ascii="Times New Roman" w:hAnsi="Times New Roman" w:cs="Times New Roman"/>
          <w:color w:val="000000"/>
          <w:sz w:val="24"/>
        </w:rPr>
        <w:t xml:space="preserve">Several limitations warrant explicit acknowledgement. First, decay was treated as a single connected cavity (circular or elliptical) with a smooth boundary. Real decay can be multi-pocketed, channelised along annual growth rings, or branched (Schwarze 2007), and a polygon-based extension of the framework is left for future work. The single-cavity assumption is, however, the conservative limit of the multi-pocket case at fixed total decayed area, because subdivision of a cavity into multiple smaller cavities reduces the worst-direction stress concentration.</w:t>
      </w:r>
    </w:p>
    <w:p>
      <w:pPr>
        <w:pStyle w:val="BodyText"/>
        <w:spacing w:line="480" w:lineRule="auto"/>
      </w:pPr>
      <w:r>
        <w:rPr>
          <w:rFonts w:ascii="Times New Roman" w:hAnsi="Times New Roman" w:cs="Times New Roman"/>
          <w:color w:val="000000"/>
          <w:sz w:val="24"/>
        </w:rPr>
        <w:t xml:space="preserve">Second, the Beta(2, 2) prior on normalised eccentricity is weakly informative but is not derived from empirical data. Sonic-tomography survey archives — held by the Korea Forest Service and similar bodies internationally — could be used to derive empirical priors, and the sensitivity analysis in Section 3.6 indicates that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qualitative</w:t>
      </w:r>
      <w:r>
        <w:rPr>
          <w:rFonts w:ascii="Times New Roman" w:hAnsi="Times New Roman" w:cs="Times New Roman"/>
          <w:color w:val="000000"/>
          <w:sz w:val="24"/>
        </w:rPr>
        <w:t xml:space="preserve"> </w:t>
      </w:r>
      <w:r>
        <w:rPr>
          <w:rFonts w:ascii="Times New Roman" w:hAnsi="Times New Roman" w:cs="Times New Roman"/>
          <w:color w:val="000000"/>
          <w:sz w:val="24"/>
        </w:rPr>
        <w:t xml:space="preserve">conclusions are robust to prior choice. The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quantitative</w:t>
      </w:r>
      <w:r>
        <w:rPr>
          <w:rFonts w:ascii="Times New Roman" w:hAnsi="Times New Roman" w:cs="Times New Roman"/>
          <w:color w:val="000000"/>
          <w:sz w:val="24"/>
        </w:rPr>
        <w:t xml:space="preserve"> </w:t>
      </w:r>
      <w:r>
        <w:rPr>
          <w:rFonts w:ascii="Times New Roman" w:hAnsi="Times New Roman" w:cs="Times New Roman"/>
          <w:color w:val="000000"/>
          <w:sz w:val="24"/>
        </w:rPr>
        <w:t xml:space="preserve">percentile values, however, would shift: a Beta(5, 2)</w:t>
      </w:r>
      <w:r>
        <w:rPr>
          <w:rFonts w:ascii="Times New Roman" w:hAnsi="Times New Roman" w:cs="Times New Roman"/>
          <w:color w:val="000000"/>
          <w:sz w:val="24"/>
        </w:rPr>
        <w:t xml:space="preserve"> </w:t>
      </w:r>
      <w:r>
        <w:rPr>
          <w:rFonts w:ascii="Times New Roman" w:hAnsi="Times New Roman" w:cs="Times New Roman"/>
          <w:color w:val="000000"/>
          <w:sz w:val="24"/>
        </w:rPr>
        <w:t xml:space="preserve">“high-eccentricity”</w:t>
      </w:r>
      <w:r>
        <w:rPr>
          <w:rFonts w:ascii="Times New Roman" w:hAnsi="Times New Roman" w:cs="Times New Roman"/>
          <w:color w:val="000000"/>
          <w:sz w:val="24"/>
        </w:rPr>
        <w:t xml:space="preserve"> </w:t>
      </w:r>
      <w:r>
        <w:rPr>
          <w:rFonts w:ascii="Times New Roman" w:hAnsi="Times New Roman" w:cs="Times New Roman"/>
          <w:color w:val="000000"/>
          <w:sz w:val="24"/>
        </w:rPr>
        <w:t xml:space="preserve">prior implies more severe expected damage than a Beta(2, 5)</w:t>
      </w:r>
      <w:r>
        <w:rPr>
          <w:rFonts w:ascii="Times New Roman" w:hAnsi="Times New Roman" w:cs="Times New Roman"/>
          <w:color w:val="000000"/>
          <w:sz w:val="24"/>
        </w:rPr>
        <w:t xml:space="preserve"> </w:t>
      </w:r>
      <w:r>
        <w:rPr>
          <w:rFonts w:ascii="Times New Roman" w:hAnsi="Times New Roman" w:cs="Times New Roman"/>
          <w:color w:val="000000"/>
          <w:sz w:val="24"/>
        </w:rPr>
        <w:t xml:space="preserve">“low-eccentricity”</w:t>
      </w:r>
      <w:r>
        <w:rPr>
          <w:rFonts w:ascii="Times New Roman" w:hAnsi="Times New Roman" w:cs="Times New Roman"/>
          <w:color w:val="000000"/>
          <w:sz w:val="24"/>
        </w:rPr>
        <w:t xml:space="preserve"> </w:t>
      </w:r>
      <w:r>
        <w:rPr>
          <w:rFonts w:ascii="Times New Roman" w:hAnsi="Times New Roman" w:cs="Times New Roman"/>
          <w:color w:val="000000"/>
          <w:sz w:val="24"/>
        </w:rPr>
        <w:t xml:space="preserve">prior. Empirical priors are a high-value follow-on.</w:t>
      </w:r>
    </w:p>
    <w:p>
      <w:pPr>
        <w:pStyle w:val="BodyText"/>
        <w:spacing w:line="480" w:lineRule="auto"/>
      </w:pPr>
      <w:r>
        <w:rPr>
          <w:rFonts w:ascii="Times New Roman" w:hAnsi="Times New Roman" w:cs="Times New Roman"/>
          <w:color w:val="000000"/>
          <w:sz w:val="24"/>
        </w:rPr>
        <w:t xml:space="preserve">Third, the independence assumption between cavity orientation and wind direction (Section 4.1) is not empirically validated. The variance-decomposition analysis (Section 3.6) shows that this assumption affects only a tiny fraction of total variance under the present circular framework, but if reaction-wood asymmetry is found to drive cavity orientation in a dominant-wind alignment the result would be</w:t>
      </w:r>
      <w:r>
        <w:rPr>
          <w:rFonts w:ascii="Times New Roman" w:hAnsi="Times New Roman" w:cs="Times New Roman"/>
          <w:color w:val="000000"/>
          <w:sz w:val="24"/>
        </w:rPr>
        <w:t xml:space="preserve"> </w:t>
      </w:r>
      <w:r>
        <w:rPr>
          <w:rFonts w:ascii="Times New Roman" w:hAnsi="Times New Roman" w:cs="Times New Roman"/>
          <w:i/>
          <w:iCs/>
          <w:color w:val="000000"/>
          <w:sz w:val="24"/>
        </w:rPr>
        <w:t xml:space="preserve">more</w:t>
      </w:r>
      <w:r>
        <w:rPr>
          <w:rFonts w:ascii="Times New Roman" w:hAnsi="Times New Roman" w:cs="Times New Roman"/>
          <w:color w:val="000000"/>
          <w:sz w:val="24"/>
        </w:rPr>
        <w:t xml:space="preserve"> </w:t>
      </w:r>
      <w:r>
        <w:rPr>
          <w:rFonts w:ascii="Times New Roman" w:hAnsi="Times New Roman" w:cs="Times New Roman"/>
          <w:color w:val="000000"/>
          <w:sz w:val="24"/>
        </w:rPr>
        <w:t xml:space="preserve">severe than reported here.</w:t>
      </w:r>
    </w:p>
    <w:p>
      <w:pPr>
        <w:pStyle w:val="BodyText"/>
        <w:spacing w:line="480" w:lineRule="auto"/>
      </w:pPr>
      <w:r>
        <w:rPr>
          <w:rFonts w:ascii="Times New Roman" w:hAnsi="Times New Roman" w:cs="Times New Roman"/>
          <w:color w:val="000000"/>
          <w:sz w:val="24"/>
        </w:rPr>
        <w:t xml:space="preserve">Fourth, time evolution of decay is not modelled: decay was treated as a static parameter rather than as a fungal-growth process. Coupling the present eccentric framework with a decay-progression model (Schwarze and Engels 1998) is a natural extension that would convert the static decay-ratio sweep into a true remaining-useful-life estimator.</w:t>
      </w:r>
    </w:p>
    <w:p>
      <w:pPr>
        <w:pStyle w:val="BodyText"/>
        <w:spacing w:line="480" w:lineRule="auto"/>
      </w:pPr>
      <w:r>
        <w:rPr>
          <w:rFonts w:ascii="Times New Roman" w:hAnsi="Times New Roman" w:cs="Times New Roman"/>
          <w:color w:val="000000"/>
          <w:sz w:val="24"/>
        </w:rPr>
        <w:t xml:space="preserve">Fifth, the analysis is valid only within the wind-loading and S-N framework of Paper I, which uses repeated-loading (</w:t>
      </w:r>
      <m:oMath>
        <m:r>
          <m:t>R</m:t>
        </m:r>
        <m:r>
          <m:rPr>
            <m:sty m:val="p"/>
          </m:rPr>
          <m:t>=</m:t>
        </m:r>
        <m:r>
          <m:t>0</m:t>
        </m:r>
      </m:oMath>
      <w:r>
        <w:rPr>
          <w:rFonts w:ascii="Times New Roman" w:hAnsi="Times New Roman" w:cs="Times New Roman"/>
          <w:color w:val="000000"/>
          <w:sz w:val="24"/>
        </w:rPr>
        <w:t xml:space="preserve">) S-N data. Paper I (Section 4.2) discusses the consequent upper-bound bias relative to fully reversed loading (</w:t>
      </w:r>
      <m:oMath>
        <m:r>
          <m:t>R</m:t>
        </m:r>
        <m:r>
          <m:rPr>
            <m:sty m:val="p"/>
          </m:rPr>
          <m:t>=</m:t>
        </m:r>
        <m:r>
          <m:rPr>
            <m:sty m:val="p"/>
          </m:rPr>
          <m:t>−</m:t>
        </m:r>
        <m:r>
          <m:t>1</m:t>
        </m:r>
      </m:oMath>
      <w:r>
        <w:rPr>
          <w:rFonts w:ascii="Times New Roman" w:hAnsi="Times New Roman" w:cs="Times New Roman"/>
          <w:color w:val="000000"/>
          <w:sz w:val="24"/>
        </w:rPr>
        <w:t xml:space="preserve">); this bias persists in the present analysis but is partially compensated by our use of the lower-bound S-N parameters as the conservative default.</w:t>
      </w:r>
    </w:p>
    <w:bookmarkEnd w:id="34"/>
    <w:bookmarkStart w:id="35" w:name="bridge-to-future-research"/>
    <w:p>
      <w:pPr>
        <w:pStyle w:val="Heading3"/>
        <w:spacing w:line="480" w:lineRule="auto"/>
      </w:pPr>
      <w:r>
        <w:rPr>
          <w:rFonts w:ascii="Times New Roman" w:hAnsi="Times New Roman" w:cs="Times New Roman"/>
          <w:b/>
          <w:color w:val="000000"/>
          <w:sz w:val="24"/>
        </w:rPr>
        <w:t xml:space="preserve">4.6 Bridge to future research</w:t>
      </w:r>
    </w:p>
    <w:p>
      <w:pPr>
        <w:pStyle w:val="FirstParagraph"/>
        <w:spacing w:line="480" w:lineRule="auto"/>
      </w:pPr>
      <w:r>
        <w:rPr>
          <w:rFonts w:ascii="Times New Roman" w:hAnsi="Times New Roman" w:cs="Times New Roman"/>
          <w:color w:val="000000"/>
          <w:sz w:val="24"/>
        </w:rPr>
        <w:t xml:space="preserve">The present paper closes the fourth item on the future-work list of Paper I (probabilistic eccentric-decay Monte Carlo). It also provides a high-quality training set for the surrogate-model effort identified as Paper I future-work item six: the 30,000 Monte Carlo samples produced here are sufficient to train a graph neural network surrogate for fast city-scale risk maps, and the variance decomposition (Section 3.6) identifies</w:t>
      </w:r>
      <w:r>
        <w:rPr>
          <w:rFonts w:ascii="Times New Roman" w:hAnsi="Times New Roman" w:cs="Times New Roman"/>
          <w:color w:val="000000"/>
          <w:sz w:val="24"/>
        </w:rPr>
        <w:t xml:space="preserve"> </w:t>
      </w:r>
      <m:oMath>
        <m:sSub>
          <m:e>
            <m:r>
              <m:t>e</m:t>
            </m:r>
          </m:e>
          <m:sub>
            <m:r>
              <m:rPr>
                <m:nor/>
                <m:sty m:val="p"/>
              </m:rPr>
              <m:t>norm</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as the single most informative input feature. Coupling with reversed-loading (</w:t>
      </w:r>
      <m:oMath>
        <m:r>
          <m:t>R</m:t>
        </m:r>
        <m:r>
          <m:rPr>
            <m:sty m:val="p"/>
          </m:rPr>
          <m:t>=</m:t>
        </m:r>
        <m:r>
          <m:rPr>
            <m:sty m:val="p"/>
          </m:rPr>
          <m:t>−</m:t>
        </m:r>
        <m:r>
          <m:t>1</m:t>
        </m:r>
      </m:oMath>
      <w:r>
        <w:rPr>
          <w:rFonts w:ascii="Times New Roman" w:hAnsi="Times New Roman" w:cs="Times New Roman"/>
          <w:color w:val="000000"/>
          <w:sz w:val="24"/>
        </w:rPr>
        <w:t xml:space="preserve">) S-N data (Paper I future-work item one; cf. Yang et al. 2025) would remove the residual upper-bound bias on absolute lives. A follow-on study integrating the present framework with the time-evolving decay model and a coupled mechanical-hydraulic fatigue model (Paper I future-work items two and five) is in preparation.</w:t>
      </w:r>
    </w:p>
    <w:p>
      <w:pPr>
        <w:spacing w:line="480" w:lineRule="auto"/>
      </w:pPr>
      <w:r>
        <w:rPr>
          <w:rFonts w:ascii="Times New Roman" w:hAnsi="Times New Roman" w:cs="Times New Roman"/>
          <w:color w:val="000000"/>
          <w:sz w:val="24"/>
        </w:rPr>
        <w:pict>
          <v:rect style="width:0;height:1.5pt" o:hralign="center" o:hrstd="t" o:hr="t"/>
        </w:pict>
      </w:r>
    </w:p>
    <w:bookmarkEnd w:id="35"/>
    <w:bookmarkEnd w:id="36"/>
    <w:bookmarkStart w:id="37" w:name="conclusions"/>
    <w:p>
      <w:pPr>
        <w:pStyle w:val="Heading2"/>
        <w:spacing w:line="480" w:lineRule="auto"/>
      </w:pPr>
      <w:r>
        <w:rPr>
          <w:rFonts w:ascii="Times New Roman" w:hAnsi="Times New Roman" w:cs="Times New Roman"/>
          <w:b/>
          <w:color w:val="000000"/>
          <w:sz w:val="24"/>
        </w:rPr>
        <w:t xml:space="preserve">5. Conclusions</w:t>
      </w:r>
    </w:p>
    <w:p>
      <w:pPr>
        <w:pStyle w:val="FirstParagraph"/>
        <w:spacing w:line="480" w:lineRule="auto"/>
      </w:pPr>
      <w:r>
        <w:rPr>
          <w:rFonts w:ascii="Times New Roman" w:hAnsi="Times New Roman" w:cs="Times New Roman"/>
          <w:color w:val="000000"/>
          <w:sz w:val="24"/>
        </w:rPr>
        <w:t xml:space="preserve">This study replaced the concentric hollow-cylinder decay assumption used throughout the wind-fatigue literature with a probabilistic framework based on Beta-distributed eccentricity priors and a uniform cavity-orientation prior. Anchored to the calibrated absolute-life pipeline of our earlier Paper I, the framework yields five concrete conclusions:</w:t>
      </w:r>
    </w:p>
    <w:p>
      <w:pPr>
        <w:numPr>
          <w:ilvl w:val="0"/>
          <w:numId w:val="1003"/>
        </w:numPr>
        <w:spacing w:line="480" w:lineRule="auto"/>
      </w:pPr>
      <w:r>
        <w:rPr>
          <w:rFonts w:ascii="Times New Roman" w:hAnsi="Times New Roman" w:cs="Times New Roman"/>
          <w:b/>
          <w:bCs/>
          <w:color w:val="000000"/>
          <w:sz w:val="24"/>
        </w:rPr>
        <w:t xml:space="preserve">The concentric assumption is systematically non-conservative.</w:t>
      </w:r>
      <w:r>
        <w:rPr>
          <w:rFonts w:ascii="Times New Roman" w:hAnsi="Times New Roman" w:cs="Times New Roman"/>
          <w:color w:val="000000"/>
          <w:sz w:val="24"/>
        </w:rPr>
        <w:t xml:space="preserve"> </w:t>
      </w:r>
      <w:r>
        <w:rPr>
          <w:rFonts w:ascii="Times New Roman" w:hAnsi="Times New Roman" w:cs="Times New Roman"/>
          <w:color w:val="000000"/>
          <w:sz w:val="24"/>
        </w:rPr>
        <w:t xml:space="preserve">At the Mattheck threshold</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the median eccentric tree has a fatigue life of 25 % of the concentric Mattheck estimate, and the 5th-percentile tail is shorter by a factor of 47 to 143 depending on S-N curve.</w:t>
      </w:r>
    </w:p>
    <w:p>
      <w:pPr>
        <w:numPr>
          <w:ilvl w:val="0"/>
          <w:numId w:val="1003"/>
        </w:numPr>
        <w:spacing w:line="480" w:lineRule="auto"/>
      </w:pPr>
      <w:r>
        <w:rPr>
          <w:rFonts w:ascii="Times New Roman" w:hAnsi="Times New Roman" w:cs="Times New Roman"/>
          <w:b/>
          <w:bCs/>
          <w:color w:val="000000"/>
          <w:sz w:val="24"/>
        </w:rPr>
        <w:t xml:space="preserve">The bottom 5 % of the population is well below the Mattheck point estimate.</w:t>
      </w:r>
      <w:r>
        <w:rPr>
          <w:rFonts w:ascii="Times New Roman" w:hAnsi="Times New Roman" w:cs="Times New Roman"/>
          <w:color w:val="000000"/>
          <w:sz w:val="24"/>
        </w:rPr>
        <w:t xml:space="preserve"> </w:t>
      </w:r>
      <w:r>
        <w:rPr>
          <w:rFonts w:ascii="Times New Roman" w:hAnsi="Times New Roman" w:cs="Times New Roman"/>
          <w:color w:val="000000"/>
          <w:sz w:val="24"/>
        </w:rPr>
        <w:t xml:space="preserve">This invalidates deterministic point estimates as the basis for risk-based management and motivates a percentile-driven inspection policy.</w:t>
      </w:r>
    </w:p>
    <w:p>
      <w:pPr>
        <w:numPr>
          <w:ilvl w:val="0"/>
          <w:numId w:val="1003"/>
        </w:numPr>
        <w:spacing w:line="480" w:lineRule="auto"/>
      </w:pPr>
      <w:r>
        <w:rPr>
          <w:rFonts w:ascii="Times New Roman" w:hAnsi="Times New Roman" w:cs="Times New Roman"/>
          <w:b/>
          <w:bCs/>
          <w:color w:val="000000"/>
          <w:sz w:val="24"/>
        </w:rPr>
        <w:t xml:space="preserve">Wind-direction distributions are immaterial to the eccentric correction</w:t>
      </w:r>
      <w:r>
        <w:rPr>
          <w:rFonts w:ascii="Times New Roman" w:hAnsi="Times New Roman" w:cs="Times New Roman"/>
          <w:color w:val="000000"/>
          <w:sz w:val="24"/>
        </w:rPr>
        <w:t xml:space="preserve"> </w:t>
      </w:r>
      <w:r>
        <w:rPr>
          <w:rFonts w:ascii="Times New Roman" w:hAnsi="Times New Roman" w:cs="Times New Roman"/>
          <w:color w:val="000000"/>
          <w:sz w:val="24"/>
        </w:rPr>
        <w:t xml:space="preserve">under independent uniform cavity-orientation priors. Site-specific wind-rose data are not required; cavity-geometry tomography is the priority empirical input.</w:t>
      </w:r>
    </w:p>
    <w:p>
      <w:pPr>
        <w:numPr>
          <w:ilvl w:val="0"/>
          <w:numId w:val="1003"/>
        </w:numPr>
        <w:spacing w:line="480" w:lineRule="auto"/>
      </w:pPr>
      <w:r>
        <w:rPr>
          <w:rFonts w:ascii="Times New Roman" w:hAnsi="Times New Roman" w:cs="Times New Roman"/>
          <w:b/>
          <w:bCs/>
          <w:color w:val="000000"/>
          <w:sz w:val="24"/>
        </w:rPr>
        <w:t xml:space="preserve">Risk-based inspection cycles should be keyed to the 5th-percentile lower bound,</w:t>
      </w:r>
      <w:r>
        <w:rPr>
          <w:rFonts w:ascii="Times New Roman" w:hAnsi="Times New Roman" w:cs="Times New Roman"/>
          <w:color w:val="000000"/>
          <w:sz w:val="24"/>
        </w:rPr>
        <w:t xml:space="preserve"> </w:t>
      </w:r>
      <m:oMath>
        <m:r>
          <m:rPr>
            <m:sty m:val="p"/>
          </m:rPr>
          <m:t>Δ</m:t>
        </m:r>
        <m:r>
          <m:t>t</m:t>
        </m:r>
        <m:r>
          <m:rPr>
            <m:sty m:val="p"/>
          </m:rPr>
          <m:t>=</m:t>
        </m:r>
        <m:sSub>
          <m:e>
            <m:r>
              <m:t>T</m:t>
            </m:r>
          </m:e>
          <m:sub>
            <m:r>
              <m:t>p</m:t>
            </m:r>
            <m:r>
              <m:t>5</m:t>
            </m:r>
          </m:sub>
        </m:sSub>
        <m:r>
          <m:rPr>
            <m:sty m:val="p"/>
          </m:rPr>
          <m:t>/</m:t>
        </m:r>
        <m:r>
          <m:t>2</m:t>
        </m:r>
      </m:oMath>
      <w:r>
        <w:rPr>
          <w:rFonts w:ascii="Times New Roman" w:hAnsi="Times New Roman" w:cs="Times New Roman"/>
          <w:color w:val="000000"/>
          <w:sz w:val="24"/>
        </w:rPr>
        <w:t xml:space="preserve">. Under this policy,</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in coastal regions of Korea triggers a REMOVE category, whereas current standards leave 21 % to 71 % of the eccentric population unprotected.</w:t>
      </w:r>
    </w:p>
    <w:p>
      <w:pPr>
        <w:numPr>
          <w:ilvl w:val="0"/>
          <w:numId w:val="1003"/>
        </w:numPr>
        <w:spacing w:line="480" w:lineRule="auto"/>
      </w:pPr>
      <w:r>
        <w:rPr>
          <w:rFonts w:ascii="Times New Roman" w:hAnsi="Times New Roman" w:cs="Times New Roman"/>
          <w:b/>
          <w:bCs/>
          <w:color w:val="000000"/>
          <w:sz w:val="24"/>
        </w:rPr>
        <w:t xml:space="preserve">Cavity-geometry tomography is the most valuable empirical input</w:t>
      </w:r>
      <w:r>
        <w:rPr>
          <w:rFonts w:ascii="Times New Roman" w:hAnsi="Times New Roman" w:cs="Times New Roman"/>
          <w:color w:val="000000"/>
          <w:sz w:val="24"/>
        </w:rPr>
        <w:t xml:space="preserve"> </w:t>
      </w:r>
      <w:r>
        <w:rPr>
          <w:rFonts w:ascii="Times New Roman" w:hAnsi="Times New Roman" w:cs="Times New Roman"/>
          <w:color w:val="000000"/>
          <w:sz w:val="24"/>
        </w:rPr>
        <w:t xml:space="preserve">for site-specific risk assessment: 99.6 % of the variance in the life ratio is explained by normalised eccentricity alone in the circular case. Future surveys should prioritise quantification of</w:t>
      </w:r>
      <w:r>
        <w:rPr>
          <w:rFonts w:ascii="Times New Roman" w:hAnsi="Times New Roman" w:cs="Times New Roman"/>
          <w:color w:val="000000"/>
          <w:sz w:val="24"/>
        </w:rPr>
        <w:t xml:space="preserve"> </w:t>
      </w:r>
      <m:oMath>
        <m:sSub>
          <m:e>
            <m:r>
              <m:t>e</m:t>
            </m:r>
          </m:e>
          <m:sub>
            <m:r>
              <m:rPr>
                <m:nor/>
                <m:sty m:val="p"/>
              </m:rPr>
              <m:t>norm</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over orientation</w:t>
      </w:r>
      <w:r>
        <w:rPr>
          <w:rFonts w:ascii="Times New Roman" w:hAnsi="Times New Roman" w:cs="Times New Roman"/>
          <w:color w:val="000000"/>
          <w:sz w:val="24"/>
        </w:rPr>
        <w:t xml:space="preserve"> </w:t>
      </w:r>
      <m:oMath>
        <m:sSub>
          <m:e>
            <m:r>
              <m:t>θ</m:t>
            </m:r>
          </m:e>
          <m:sub>
            <m:r>
              <m:t>e</m:t>
            </m:r>
          </m:sub>
        </m:sSub>
      </m:oMath>
      <w:r>
        <w:rPr>
          <w:rFonts w:ascii="Times New Roman" w:hAnsi="Times New Roman" w:cs="Times New Roman"/>
          <w:color w:val="000000"/>
          <w:sz w:val="24"/>
        </w:rPr>
        <w:t xml:space="preserve">.</w:t>
      </w:r>
    </w:p>
    <w:p>
      <w:pPr>
        <w:pStyle w:val="FirstParagraph"/>
        <w:spacing w:line="480" w:lineRule="auto"/>
      </w:pPr>
      <w:r>
        <w:rPr>
          <w:rFonts w:ascii="Times New Roman" w:hAnsi="Times New Roman" w:cs="Times New Roman"/>
          <w:color w:val="000000"/>
          <w:sz w:val="24"/>
        </w:rPr>
        <w:t xml:space="preserve">The framework is fully compatible with — and a probabilistic upgrade of — the deterministic concentric pipeline of Paper I, and provides a direct training set for the city-scale surrogate-model studies under development.</w:t>
      </w:r>
    </w:p>
    <w:p>
      <w:pPr>
        <w:spacing w:line="480" w:lineRule="auto"/>
      </w:pPr>
      <w:r>
        <w:rPr>
          <w:rFonts w:ascii="Times New Roman" w:hAnsi="Times New Roman" w:cs="Times New Roman"/>
          <w:color w:val="000000"/>
          <w:sz w:val="24"/>
        </w:rPr>
        <w:pict>
          <v:rect style="width:0;height:1.5pt" o:hralign="center" o:hrstd="t" o:hr="t"/>
        </w:pict>
      </w:r>
    </w:p>
    <w:bookmarkEnd w:id="37"/>
    <w:bookmarkStart w:id="38" w:name="acknowledgements"/>
    <w:p>
      <w:pPr>
        <w:pStyle w:val="Heading2"/>
        <w:spacing w:line="480" w:lineRule="auto"/>
      </w:pPr>
      <w:r>
        <w:rPr>
          <w:rFonts w:ascii="Times New Roman" w:hAnsi="Times New Roman" w:cs="Times New Roman"/>
          <w:b/>
          <w:color w:val="000000"/>
          <w:sz w:val="24"/>
        </w:rPr>
        <w:t xml:space="preserve">Acknowledgements</w:t>
      </w:r>
    </w:p>
    <w:p>
      <w:pPr>
        <w:pStyle w:val="FirstParagraph"/>
        <w:spacing w:line="480" w:lineRule="auto"/>
      </w:pPr>
      <w:r>
        <w:rPr>
          <w:rFonts w:ascii="Times New Roman" w:hAnsi="Times New Roman" w:cs="Times New Roman"/>
          <w:color w:val="000000"/>
          <w:sz w:val="24"/>
        </w:rPr>
        <w:t xml:space="preserve">This work used computational resources of the AGE (AI · Green Intelligence · Engineering) Lab, Seoul National University. The framework is the second instalment of a fatigue-assessment series; the author thanks the colleagues who reviewed Paper I in 2026.</w:t>
      </w:r>
    </w:p>
    <w:bookmarkEnd w:id="38"/>
    <w:bookmarkStart w:id="39" w:name="funding"/>
    <w:p>
      <w:pPr>
        <w:pStyle w:val="Heading2"/>
        <w:spacing w:line="480" w:lineRule="auto"/>
      </w:pPr>
      <w:r>
        <w:rPr>
          <w:rFonts w:ascii="Times New Roman" w:hAnsi="Times New Roman" w:cs="Times New Roman"/>
          <w:b/>
          <w:color w:val="000000"/>
          <w:sz w:val="24"/>
        </w:rPr>
        <w:t xml:space="preserve">Funding</w:t>
      </w:r>
    </w:p>
    <w:p>
      <w:pPr>
        <w:pStyle w:val="FirstParagraph"/>
        <w:spacing w:line="480" w:lineRule="auto"/>
      </w:pPr>
      <w:r>
        <w:rPr>
          <w:rFonts w:ascii="Times New Roman" w:hAnsi="Times New Roman" w:cs="Times New Roman"/>
          <w:color w:val="000000"/>
          <w:sz w:val="24"/>
        </w:rPr>
        <w:t xml:space="preserve">This work was supported by the Korea Environment Industry &amp; Technology Institute (KEITI) through the Climate Change R&amp;D Project for the New Climate Regime, funded by the Korea Ministry of Environment (MOE) (2022003570004), and by the National Research Foundation of Korea Grant funded by the Korean Government (NRF-RS-2023-00259403).</w:t>
      </w:r>
    </w:p>
    <w:bookmarkEnd w:id="39"/>
    <w:bookmarkStart w:id="40" w:name="declarations"/>
    <w:p>
      <w:pPr>
        <w:pStyle w:val="Heading2"/>
        <w:spacing w:line="480" w:lineRule="auto"/>
      </w:pPr>
      <w:r>
        <w:rPr>
          <w:rFonts w:ascii="Times New Roman" w:hAnsi="Times New Roman" w:cs="Times New Roman"/>
          <w:b/>
          <w:color w:val="000000"/>
          <w:sz w:val="24"/>
        </w:rPr>
        <w:t xml:space="preserve">Declarations</w:t>
      </w:r>
    </w:p>
    <w:p>
      <w:pPr>
        <w:pStyle w:val="FirstParagraph"/>
        <w:spacing w:line="480" w:lineRule="auto"/>
      </w:pPr>
      <w:r>
        <w:rPr>
          <w:rFonts w:ascii="Times New Roman" w:hAnsi="Times New Roman" w:cs="Times New Roman"/>
          <w:b/>
          <w:bCs/>
          <w:color w:val="000000"/>
          <w:sz w:val="24"/>
        </w:rPr>
        <w:t xml:space="preserve">Conflict of interest</w:t>
      </w:r>
      <w:r>
        <w:rPr>
          <w:rFonts w:ascii="Times New Roman" w:hAnsi="Times New Roman" w:cs="Times New Roman"/>
          <w:color w:val="000000"/>
          <w:sz w:val="24"/>
        </w:rPr>
        <w:t xml:space="preserve"> </w:t>
      </w:r>
      <w:r>
        <w:rPr>
          <w:rFonts w:ascii="Times New Roman" w:hAnsi="Times New Roman" w:cs="Times New Roman"/>
          <w:color w:val="000000"/>
          <w:sz w:val="24"/>
        </w:rPr>
        <w:t xml:space="preserve">The author declares no competing interests.</w:t>
      </w:r>
    </w:p>
    <w:p>
      <w:pPr>
        <w:pStyle w:val="BodyText"/>
        <w:spacing w:line="480" w:lineRule="auto"/>
      </w:pPr>
      <w:r>
        <w:rPr>
          <w:rFonts w:ascii="Times New Roman" w:hAnsi="Times New Roman" w:cs="Times New Roman"/>
          <w:b/>
          <w:bCs/>
          <w:color w:val="000000"/>
          <w:sz w:val="24"/>
        </w:rPr>
        <w:t xml:space="preserve">Availability of data and material</w:t>
      </w:r>
      <w:r>
        <w:rPr>
          <w:rFonts w:ascii="Times New Roman" w:hAnsi="Times New Roman" w:cs="Times New Roman"/>
          <w:color w:val="000000"/>
          <w:sz w:val="24"/>
        </w:rPr>
        <w:t xml:space="preserve"> </w:t>
      </w:r>
      <w:r>
        <w:rPr>
          <w:rFonts w:ascii="Times New Roman" w:hAnsi="Times New Roman" w:cs="Times New Roman"/>
          <w:color w:val="000000"/>
          <w:sz w:val="24"/>
        </w:rPr>
        <w:t xml:space="preserve">The Monte Carlo sample data and analysis scripts that support the findings of this study are openly available at</w:t>
      </w:r>
      <w:r>
        <w:rPr>
          <w:rFonts w:ascii="Times New Roman" w:hAnsi="Times New Roman" w:cs="Times New Roman"/>
          <w:color w:val="000000"/>
          <w:sz w:val="24"/>
        </w:rPr>
        <w:t xml:space="preserve"> </w:t>
      </w:r>
      <w:r>
        <w:rPr>
          <w:rStyle w:val="VerbatimChar"/>
          <w:rFonts w:ascii="Times New Roman" w:hAnsi="Times New Roman" w:cs="Times New Roman"/>
          <w:color w:val="000000"/>
          <w:sz w:val="24"/>
        </w:rPr>
        <w:t xml:space="preserve">https://github.com/&lt;author&gt;/fatigue-tree2</w:t>
      </w:r>
      <w:r>
        <w:rPr>
          <w:rFonts w:ascii="Times New Roman" w:hAnsi="Times New Roman" w:cs="Times New Roman"/>
          <w:color w:val="000000"/>
          <w:sz w:val="24"/>
        </w:rPr>
        <w:t xml:space="preserve">. The Paper I anchor values used in Section 2.5 are reproduced verbatim from Kang (2026, Table 2).</w:t>
      </w:r>
    </w:p>
    <w:p>
      <w:pPr>
        <w:pStyle w:val="BodyText"/>
        <w:spacing w:line="480" w:lineRule="auto"/>
      </w:pPr>
      <w:r>
        <w:rPr>
          <w:rFonts w:ascii="Times New Roman" w:hAnsi="Times New Roman" w:cs="Times New Roman"/>
          <w:b/>
          <w:bCs/>
          <w:color w:val="000000"/>
          <w:sz w:val="24"/>
        </w:rPr>
        <w:t xml:space="preserve">Author contributions</w:t>
      </w:r>
      <w:r>
        <w:rPr>
          <w:rFonts w:ascii="Times New Roman" w:hAnsi="Times New Roman" w:cs="Times New Roman"/>
          <w:color w:val="000000"/>
          <w:sz w:val="24"/>
        </w:rPr>
        <w:t xml:space="preserve"> </w:t>
      </w:r>
      <w:r>
        <w:rPr>
          <w:rFonts w:ascii="Times New Roman" w:hAnsi="Times New Roman" w:cs="Times New Roman"/>
          <w:color w:val="000000"/>
          <w:sz w:val="24"/>
        </w:rPr>
        <w:t xml:space="preserve">JK: Conceptualization, Methodology, Software, Formal analysis, Investigation, Writing - original draft, Writing - review and editing, Visualization, Funding acquisition.</w:t>
      </w:r>
    </w:p>
    <w:p>
      <w:pPr>
        <w:pStyle w:val="BodyText"/>
        <w:spacing w:line="480" w:lineRule="auto"/>
      </w:pPr>
      <w:r>
        <w:rPr>
          <w:rFonts w:ascii="Times New Roman" w:hAnsi="Times New Roman" w:cs="Times New Roman"/>
          <w:b/>
          <w:bCs/>
          <w:color w:val="000000"/>
          <w:sz w:val="24"/>
        </w:rPr>
        <w:t xml:space="preserve">Ethics approval</w:t>
      </w:r>
      <w:r>
        <w:rPr>
          <w:rFonts w:ascii="Times New Roman" w:hAnsi="Times New Roman" w:cs="Times New Roman"/>
          <w:color w:val="000000"/>
          <w:sz w:val="24"/>
        </w:rPr>
        <w:t xml:space="preserve"> </w:t>
      </w:r>
      <w:r>
        <w:rPr>
          <w:rFonts w:ascii="Times New Roman" w:hAnsi="Times New Roman" w:cs="Times New Roman"/>
          <w:color w:val="000000"/>
          <w:sz w:val="24"/>
        </w:rPr>
        <w:t xml:space="preserve">Not applicable.</w:t>
      </w:r>
    </w:p>
    <w:p>
      <w:pPr>
        <w:pStyle w:val="BodyText"/>
        <w:spacing w:line="480" w:lineRule="auto"/>
      </w:pPr>
      <w:r>
        <w:rPr>
          <w:rFonts w:ascii="Times New Roman" w:hAnsi="Times New Roman" w:cs="Times New Roman"/>
          <w:b/>
          <w:bCs/>
          <w:color w:val="000000"/>
          <w:sz w:val="24"/>
        </w:rPr>
        <w:t xml:space="preserve">Use of AI-assisted tools</w:t>
      </w:r>
      <w:r>
        <w:rPr>
          <w:rFonts w:ascii="Times New Roman" w:hAnsi="Times New Roman" w:cs="Times New Roman"/>
          <w:color w:val="000000"/>
          <w:sz w:val="24"/>
        </w:rPr>
        <w:t xml:space="preserve"> </w:t>
      </w:r>
      <w:r>
        <w:rPr>
          <w:rFonts w:ascii="Times New Roman" w:hAnsi="Times New Roman" w:cs="Times New Roman"/>
          <w:color w:val="000000"/>
          <w:sz w:val="24"/>
        </w:rPr>
        <w:t xml:space="preserve">The author used an AI language model (Claude, Anthropic) to assist with manuscript drafting and language editing. The author reviewed and revised all AI-generated content and takes full responsibility for the accuracy and integrity of the work.</w:t>
      </w:r>
    </w:p>
    <w:p>
      <w:pPr>
        <w:spacing w:line="480" w:lineRule="auto"/>
      </w:pPr>
      <w:r>
        <w:rPr>
          <w:rFonts w:ascii="Times New Roman" w:hAnsi="Times New Roman" w:cs="Times New Roman"/>
          <w:color w:val="000000"/>
          <w:sz w:val="24"/>
        </w:rPr>
        <w:pict>
          <v:rect style="width:0;height:1.5pt" o:hralign="center" o:hrstd="t" o:hr="t"/>
        </w:pict>
      </w:r>
    </w:p>
    <w:bookmarkEnd w:id="40"/>
    <w:bookmarkStart w:id="41" w:name="X557232a6179ada799cb609304d2cc5c44e30fb9"/>
    <w:p>
      <w:pPr>
        <w:pStyle w:val="Heading2"/>
        <w:spacing w:line="480" w:lineRule="auto"/>
      </w:pPr>
      <w:r>
        <w:rPr>
          <w:rFonts w:ascii="Times New Roman" w:hAnsi="Times New Roman" w:cs="Times New Roman"/>
          <w:b/>
          <w:color w:val="000000"/>
          <w:sz w:val="24"/>
        </w:rPr>
        <w:t xml:space="preserve">Appendix A. Independent validation against ABAQUS finite-element analysis</w:t>
      </w:r>
    </w:p>
    <w:p>
      <w:pPr>
        <w:pStyle w:val="FirstParagraph"/>
        <w:spacing w:line="480" w:lineRule="auto"/>
      </w:pPr>
      <w:r>
        <w:rPr>
          <w:rFonts w:ascii="Times New Roman" w:hAnsi="Times New Roman" w:cs="Times New Roman"/>
          <w:color w:val="000000"/>
          <w:sz w:val="24"/>
        </w:rPr>
        <w:t xml:space="preserve">The closed-form section-property formulas of Section 2.1 were independently verified against ABAQUS Standard 2026 (Dassault Systèmes 2025) for six representative cross-sections spanning the (decay-ratio, eccentricity) range used in the Monte Carlo. Each section was meshed with axis-aligned plane-stress quadrilateral elements (CPS4R) on a Cartesian grid with side length</w:t>
      </w:r>
      <w:r>
        <w:rPr>
          <w:rFonts w:ascii="Times New Roman" w:hAnsi="Times New Roman" w:cs="Times New Roman"/>
          <w:color w:val="000000"/>
          <w:sz w:val="24"/>
        </w:rPr>
        <w:t xml:space="preserve"> </w:t>
      </w:r>
      <m:oMath>
        <m:r>
          <m:rPr>
            <m:sty m:val="p"/>
          </m:rPr>
          <m:t>Δ</m:t>
        </m:r>
        <m:r>
          <m:rPr>
            <m:sty m:val="p"/>
          </m:rPr>
          <m:t>=</m:t>
        </m:r>
        <m:r>
          <m:t>R</m:t>
        </m:r>
        <m:r>
          <m:rPr>
            <m:sty m:val="p"/>
          </m:rPr>
          <m:t>/</m:t>
        </m:r>
        <m:r>
          <m:t>80</m:t>
        </m:r>
      </m:oMath>
      <w:r>
        <w:rPr>
          <w:rFonts w:ascii="Times New Roman" w:hAnsi="Times New Roman" w:cs="Times New Roman"/>
          <w:color w:val="000000"/>
          <w:sz w:val="24"/>
        </w:rPr>
        <w:t xml:space="preserve">, retaining only elements whose centroid lay inside the outer disk and outside the cavity. Mesh size ranged from 10 252 elements (high-eccentricity,</w:t>
      </w:r>
      <w:r>
        <w:rPr>
          <w:rFonts w:ascii="Times New Roman" w:hAnsi="Times New Roman" w:cs="Times New Roman"/>
          <w:color w:val="000000"/>
          <w:sz w:val="24"/>
        </w:rPr>
        <w:t xml:space="preserve"> </w:t>
      </w:r>
      <m:oMath>
        <m:sSub>
          <m:e>
            <m:r>
              <m:t>r</m:t>
            </m:r>
          </m:e>
          <m:sub>
            <m:r>
              <m:t>d</m:t>
            </m:r>
          </m:sub>
        </m:sSub>
        <m:r>
          <m:rPr>
            <m:sty m:val="p"/>
          </m:rPr>
          <m:t>/</m:t>
        </m:r>
        <m:r>
          <m:t>R</m:t>
        </m:r>
        <m:r>
          <m:rPr>
            <m:sty m:val="p"/>
          </m:rPr>
          <m:t>=</m:t>
        </m:r>
        <m:r>
          <m:t>0.7</m:t>
        </m:r>
      </m:oMath>
      <w:r>
        <w:rPr>
          <w:rFonts w:ascii="Times New Roman" w:hAnsi="Times New Roman" w:cs="Times New Roman"/>
          <w:color w:val="000000"/>
          <w:sz w:val="24"/>
        </w:rPr>
        <w:t xml:space="preserve">) to 15 084 elements (</w:t>
      </w:r>
      <m:oMath>
        <m:sSub>
          <m:e>
            <m:r>
              <m:t>r</m:t>
            </m:r>
          </m:e>
          <m:sub>
            <m:r>
              <m:t>d</m:t>
            </m:r>
          </m:sub>
        </m:sSub>
        <m:r>
          <m:rPr>
            <m:sty m:val="p"/>
          </m:rPr>
          <m:t>/</m:t>
        </m:r>
        <m:r>
          <m:t>R</m:t>
        </m:r>
        <m:r>
          <m:rPr>
            <m:sty m:val="p"/>
          </m:rPr>
          <m:t>=</m:t>
        </m:r>
        <m:r>
          <m:t>0.5</m:t>
        </m:r>
      </m:oMath>
      <w:r>
        <w:rPr>
          <w:rFonts w:ascii="Times New Roman" w:hAnsi="Times New Roman" w:cs="Times New Roman"/>
          <w:color w:val="000000"/>
          <w:sz w:val="24"/>
        </w:rPr>
        <w:t xml:space="preserve">). The cross-sectional properties (area, centroid, area moments of inertia) were computed by integrating the element-level node-coordinate field directly from the ABAQUS output database, equivalent to the second-order quadrature of the discrete domain. The validation matrix and full numeric comparison are reported below.</w:t>
      </w:r>
    </w:p>
    <w:p>
      <w:pPr>
        <w:pStyle w:val="BodyText"/>
        <w:spacing w:line="480" w:lineRule="auto"/>
      </w:pPr>
      <w:r>
        <w:rPr>
          <w:rFonts w:ascii="Times New Roman" w:hAnsi="Times New Roman" w:cs="Times New Roman"/>
          <w:b/>
          <w:bCs/>
          <w:color w:val="000000"/>
          <w:sz w:val="24"/>
        </w:rPr>
        <w:t xml:space="preserve">Table A1.</w:t>
      </w:r>
      <w:r>
        <w:rPr>
          <w:rFonts w:ascii="Times New Roman" w:hAnsi="Times New Roman" w:cs="Times New Roman"/>
          <w:color w:val="000000"/>
          <w:sz w:val="24"/>
        </w:rPr>
        <w:t xml:space="preserve"> </w:t>
      </w:r>
      <w:r>
        <w:rPr>
          <w:rFonts w:ascii="Times New Roman" w:hAnsi="Times New Roman" w:cs="Times New Roman"/>
          <w:color w:val="000000"/>
          <w:sz w:val="24"/>
        </w:rPr>
        <w:t xml:space="preserve">ABAQUS (CPS4R) vs closed-form section properties.</w:t>
      </w:r>
    </w:p>
    <w:tbl>
      <w:tblPr>
        <w:tblStyle w:val="Table"/>
        <w:tblW w:type="pct" w:w="5000"/>
        <w:tblLayout w:type="fixed"/>
        <w:tblLook w:firstRow="1" w:lastRow="0" w:firstColumn="0" w:lastColumn="0" w:noHBand="0" w:noVBand="0" w:val="0020"/>
      </w:tblPr>
      <w:tblGrid>
        <w:gridCol w:w="646"/>
        <w:gridCol w:w="1293"/>
        <w:gridCol w:w="969"/>
        <w:gridCol w:w="1777"/>
        <w:gridCol w:w="1616"/>
        <w:gridCol w:w="1616"/>
      </w:tblGrid>
      <w:tr>
        <w:trPr>
          <w:tblHeader w:val="on"/>
        </w:trPr>
        <w:tc>
          <w:tcPr/>
          <w:p>
            <w:pPr>
              <w:pStyle w:val="Compact"/>
              <w:spacing w:line="240" w:lineRule="auto"/>
            </w:pPr>
            <w:r>
              <w:rPr>
                <w:rFonts w:ascii="Times New Roman" w:hAnsi="Times New Roman"/>
                <w:color w:val="000000"/>
              </w:rPr>
              <w:t xml:space="preserve">Case</w:t>
            </w:r>
          </w:p>
        </w:tc>
        <w:tc>
          <w:tcPr/>
          <w:p>
            <w:pPr>
              <w:pStyle w:val="Compact"/>
              <w:spacing w:line="240" w:lineRule="auto"/>
            </w:pPr>
            <w:r>
              <w:rPr>
                <w:rFonts w:ascii="Times New Roman" w:hAnsi="Times New Roman"/>
                <w:color w:val="000000"/>
              </w:rPr>
              <w:t xml:space="preserve">Quantity</w:t>
            </w:r>
          </w:p>
        </w:tc>
        <w:tc>
          <w:tcPr/>
          <w:p>
            <w:pPr>
              <w:pStyle w:val="Compact"/>
              <w:spacing w:line="240" w:lineRule="auto"/>
              <w:jc w:val="right"/>
            </w:pPr>
            <w:r>
              <w:rPr>
                <w:rFonts w:ascii="Times New Roman" w:hAnsi="Times New Roman"/>
                <w:color w:val="000000"/>
              </w:rPr>
              <w:t xml:space="preserve">ABAQUS</w:t>
            </w:r>
          </w:p>
        </w:tc>
        <w:tc>
          <w:tcPr/>
          <w:p>
            <w:pPr>
              <w:pStyle w:val="Compact"/>
              <w:spacing w:line="240" w:lineRule="auto"/>
              <w:jc w:val="right"/>
            </w:pPr>
            <w:r>
              <w:rPr>
                <w:rFonts w:ascii="Times New Roman" w:hAnsi="Times New Roman"/>
                <w:color w:val="000000"/>
              </w:rPr>
              <w:t xml:space="preserve">Closed-form</w:t>
            </w:r>
          </w:p>
        </w:tc>
        <w:tc>
          <w:tcPr/>
          <w:p>
            <w:pPr>
              <w:pStyle w:val="Compact"/>
              <w:spacing w:line="240" w:lineRule="auto"/>
              <w:jc w:val="right"/>
            </w:pPr>
            <w:r>
              <w:rPr>
                <w:rFonts w:ascii="Times New Roman" w:hAnsi="Times New Roman"/>
                <w:color w:val="000000"/>
              </w:rPr>
              <w:t xml:space="preserve">Abs. error</w:t>
            </w:r>
          </w:p>
        </w:tc>
        <w:tc>
          <w:tcPr/>
          <w:p>
            <w:pPr>
              <w:pStyle w:val="Compact"/>
              <w:spacing w:line="240" w:lineRule="auto"/>
              <w:jc w:val="right"/>
            </w:pPr>
            <w:r>
              <w:rPr>
                <w:rFonts w:ascii="Times New Roman" w:hAnsi="Times New Roman"/>
                <w:color w:val="000000"/>
              </w:rPr>
              <w:t xml:space="preserve">Rel. error</w:t>
            </w:r>
          </w:p>
        </w:tc>
      </w:tr>
      <w:tr>
        <w:tc>
          <w:tcPr/>
          <w:p>
            <w:pPr>
              <w:pStyle w:val="Compact"/>
              <w:spacing w:line="240" w:lineRule="auto"/>
            </w:pPr>
            <m:oMath>
              <m:sSub>
                <m:e>
                  <m:r>
                    <m:t>r</m:t>
                  </m:r>
                </m:e>
                <m:sub>
                  <m:r>
                    <m:t>d</m:t>
                  </m:r>
                </m:sub>
              </m:sSub>
              <m:r>
                <m:rPr>
                  <m:sty m:val="p"/>
                </m:rPr>
                <m:t>/</m:t>
              </m:r>
              <m:r>
                <m:t>R</m:t>
              </m:r>
              <m:r>
                <m:rPr>
                  <m:sty m:val="p"/>
                </m:rPr>
                <m:t>=</m:t>
              </m:r>
              <m:r>
                <m:t>0.5</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0.00</m:t>
              </m:r>
            </m:oMath>
          </w:p>
        </w:tc>
        <w:tc>
          <w:tcPr/>
          <w:p>
            <w:pPr>
              <w:pStyle w:val="Compact"/>
              <w:spacing w:line="240" w:lineRule="auto"/>
            </w:pPr>
            <m:oMath>
              <m:r>
                <m:t>A</m:t>
              </m:r>
            </m:oMath>
          </w:p>
        </w:tc>
        <w:tc>
          <w:tcPr/>
          <w:p>
            <w:pPr>
              <w:pStyle w:val="Compact"/>
              <w:spacing w:line="240" w:lineRule="auto"/>
              <w:jc w:val="right"/>
            </w:pPr>
            <m:oMath>
              <m:r>
                <m:rPr>
                  <m:sty m:val="p"/>
                </m:rPr>
                <m:t>+</m:t>
              </m:r>
              <m:r>
                <m:t>2.35688</m:t>
              </m:r>
            </m:oMath>
          </w:p>
        </w:tc>
        <w:tc>
          <w:tcPr/>
          <w:p>
            <w:pPr>
              <w:pStyle w:val="Compact"/>
              <w:spacing w:line="240" w:lineRule="auto"/>
              <w:jc w:val="right"/>
            </w:pPr>
            <m:oMath>
              <m:r>
                <m:rPr>
                  <m:sty m:val="p"/>
                </m:rPr>
                <m:t>+</m:t>
              </m:r>
              <m:r>
                <m:t>2.35619</m:t>
              </m:r>
            </m:oMath>
          </w:p>
        </w:tc>
        <w:tc>
          <w:tcPr/>
          <w:p>
            <w:pPr>
              <w:pStyle w:val="Compact"/>
              <w:spacing w:line="240" w:lineRule="auto"/>
              <w:jc w:val="right"/>
            </w:pPr>
            <m:oMath>
              <m:r>
                <m:t>6.81</m:t>
              </m:r>
              <m:r>
                <m:t>​</m:t>
              </m:r>
              <m:r>
                <m:rPr>
                  <m:sty m:val="p"/>
                </m:rPr>
                <m:t>×</m:t>
              </m:r>
              <m:r>
                <m:t>​</m:t>
              </m:r>
              <m:sSup>
                <m:e>
                  <m:r>
                    <m:t>10</m:t>
                  </m:r>
                </m:e>
                <m:sup>
                  <m:r>
                    <m:rPr>
                      <m:sty m:val="p"/>
                    </m:rPr>
                    <m:t>−</m:t>
                  </m:r>
                  <m:r>
                    <m:t>4</m:t>
                  </m:r>
                </m:sup>
              </m:sSup>
            </m:oMath>
          </w:p>
        </w:tc>
        <w:tc>
          <w:tcPr/>
          <w:p>
            <w:pPr>
              <w:pStyle w:val="Compact"/>
              <w:spacing w:line="240" w:lineRule="auto"/>
              <w:jc w:val="right"/>
            </w:pPr>
            <m:oMath>
              <m:r>
                <m:t>2.89</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0.5</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0.00</m:t>
              </m:r>
            </m:oMath>
          </w:p>
        </w:tc>
        <w:tc>
          <w:tcPr/>
          <w:p>
            <w:pPr>
              <w:pStyle w:val="Compact"/>
              <w:spacing w:line="240" w:lineRule="auto"/>
            </w:pPr>
            <m:oMath>
              <m:sSub>
                <m:e>
                  <m:r>
                    <m:t>I</m:t>
                  </m:r>
                </m:e>
                <m:sub>
                  <m:r>
                    <m:t>x</m:t>
                  </m:r>
                  <m:r>
                    <m:t>x</m:t>
                  </m:r>
                </m:sub>
              </m:sSub>
            </m:oMath>
          </w:p>
        </w:tc>
        <w:tc>
          <w:tcPr/>
          <w:p>
            <w:pPr>
              <w:pStyle w:val="Compact"/>
              <w:spacing w:line="240" w:lineRule="auto"/>
              <w:jc w:val="right"/>
            </w:pPr>
            <m:oMath>
              <m:r>
                <m:rPr>
                  <m:sty m:val="p"/>
                </m:rPr>
                <m:t>+</m:t>
              </m:r>
              <m:r>
                <m:t>0.73650</m:t>
              </m:r>
            </m:oMath>
          </w:p>
        </w:tc>
        <w:tc>
          <w:tcPr/>
          <w:p>
            <w:pPr>
              <w:pStyle w:val="Compact"/>
              <w:spacing w:line="240" w:lineRule="auto"/>
              <w:jc w:val="right"/>
            </w:pPr>
            <m:oMath>
              <m:r>
                <m:rPr>
                  <m:sty m:val="p"/>
                </m:rPr>
                <m:t>+</m:t>
              </m:r>
              <m:r>
                <m:t>0.73631</m:t>
              </m:r>
            </m:oMath>
          </w:p>
        </w:tc>
        <w:tc>
          <w:tcPr/>
          <w:p>
            <w:pPr>
              <w:pStyle w:val="Compact"/>
              <w:spacing w:line="240" w:lineRule="auto"/>
              <w:jc w:val="right"/>
            </w:pPr>
            <m:oMath>
              <m:r>
                <m:t>1.92</m:t>
              </m:r>
              <m:r>
                <m:t>​</m:t>
              </m:r>
              <m:r>
                <m:rPr>
                  <m:sty m:val="p"/>
                </m:rPr>
                <m:t>×</m:t>
              </m:r>
              <m:r>
                <m:t>​</m:t>
              </m:r>
              <m:sSup>
                <m:e>
                  <m:r>
                    <m:t>10</m:t>
                  </m:r>
                </m:e>
                <m:sup>
                  <m:r>
                    <m:rPr>
                      <m:sty m:val="p"/>
                    </m:rPr>
                    <m:t>−</m:t>
                  </m:r>
                  <m:r>
                    <m:t>4</m:t>
                  </m:r>
                </m:sup>
              </m:sSup>
            </m:oMath>
          </w:p>
        </w:tc>
        <w:tc>
          <w:tcPr/>
          <w:p>
            <w:pPr>
              <w:pStyle w:val="Compact"/>
              <w:spacing w:line="240" w:lineRule="auto"/>
              <w:jc w:val="right"/>
            </w:pPr>
            <m:oMath>
              <m:r>
                <m:t>2.61</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0.5</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0.50</m:t>
              </m:r>
            </m:oMath>
          </w:p>
        </w:tc>
        <w:tc>
          <w:tcPr/>
          <w:p>
            <w:pPr>
              <w:pStyle w:val="Compact"/>
              <w:spacing w:line="240" w:lineRule="auto"/>
            </w:pPr>
            <m:oMath>
              <m:sSub>
                <m:e>
                  <m:r>
                    <m:t>x</m:t>
                  </m:r>
                </m:e>
                <m:sub>
                  <m:r>
                    <m:t>c</m:t>
                  </m:r>
                </m:sub>
              </m:sSub>
            </m:oMath>
          </w:p>
        </w:tc>
        <w:tc>
          <w:tcPr/>
          <w:p>
            <w:pPr>
              <w:pStyle w:val="Compact"/>
              <w:spacing w:line="240" w:lineRule="auto"/>
              <w:jc w:val="right"/>
            </w:pPr>
            <m:oMath>
              <m:r>
                <m:rPr>
                  <m:sty m:val="p"/>
                </m:rPr>
                <m:t>−</m:t>
              </m:r>
              <m:r>
                <m:t>0.08327</m:t>
              </m:r>
            </m:oMath>
          </w:p>
        </w:tc>
        <w:tc>
          <w:tcPr/>
          <w:p>
            <w:pPr>
              <w:pStyle w:val="Compact"/>
              <w:spacing w:line="240" w:lineRule="auto"/>
              <w:jc w:val="right"/>
            </w:pPr>
            <m:oMath>
              <m:r>
                <m:rPr>
                  <m:sty m:val="p"/>
                </m:rPr>
                <m:t>−</m:t>
              </m:r>
              <m:r>
                <m:t>0.08333</m:t>
              </m:r>
            </m:oMath>
          </w:p>
        </w:tc>
        <w:tc>
          <w:tcPr/>
          <w:p>
            <w:pPr>
              <w:pStyle w:val="Compact"/>
              <w:spacing w:line="240" w:lineRule="auto"/>
              <w:jc w:val="right"/>
            </w:pPr>
            <m:oMath>
              <m:r>
                <m:t>6.63</m:t>
              </m:r>
              <m:r>
                <m:t>​</m:t>
              </m:r>
              <m:r>
                <m:rPr>
                  <m:sty m:val="p"/>
                </m:rPr>
                <m:t>×</m:t>
              </m:r>
              <m:r>
                <m:t>​</m:t>
              </m:r>
              <m:sSup>
                <m:e>
                  <m:r>
                    <m:t>10</m:t>
                  </m:r>
                </m:e>
                <m:sup>
                  <m:r>
                    <m:rPr>
                      <m:sty m:val="p"/>
                    </m:rPr>
                    <m:t>−</m:t>
                  </m:r>
                  <m:r>
                    <m:t>5</m:t>
                  </m:r>
                </m:sup>
              </m:sSup>
            </m:oMath>
          </w:p>
        </w:tc>
        <w:tc>
          <w:tcPr/>
          <w:p>
            <w:pPr>
              <w:pStyle w:val="Compact"/>
              <w:spacing w:line="240" w:lineRule="auto"/>
              <w:jc w:val="right"/>
            </w:pPr>
            <m:oMath>
              <m:r>
                <m:t>7.96</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0.5</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0.50</m:t>
              </m:r>
            </m:oMath>
          </w:p>
        </w:tc>
        <w:tc>
          <w:tcPr/>
          <w:p>
            <w:pPr>
              <w:pStyle w:val="Compact"/>
              <w:spacing w:line="240" w:lineRule="auto"/>
            </w:pPr>
            <m:oMath>
              <m:sSub>
                <m:e>
                  <m:r>
                    <m:t>I</m:t>
                  </m:r>
                </m:e>
                <m:sub>
                  <m:r>
                    <m:t>y</m:t>
                  </m:r>
                  <m:r>
                    <m:t>y</m:t>
                  </m:r>
                </m:sub>
              </m:sSub>
            </m:oMath>
          </w:p>
        </w:tc>
        <w:tc>
          <w:tcPr/>
          <w:p>
            <w:pPr>
              <w:pStyle w:val="Compact"/>
              <w:spacing w:line="240" w:lineRule="auto"/>
              <w:jc w:val="right"/>
            </w:pPr>
            <m:oMath>
              <m:r>
                <m:rPr>
                  <m:sty m:val="p"/>
                </m:rPr>
                <m:t>+</m:t>
              </m:r>
              <m:r>
                <m:t>0.67110</m:t>
              </m:r>
            </m:oMath>
          </w:p>
        </w:tc>
        <w:tc>
          <w:tcPr/>
          <w:p>
            <w:pPr>
              <w:pStyle w:val="Compact"/>
              <w:spacing w:line="240" w:lineRule="auto"/>
              <w:jc w:val="right"/>
            </w:pPr>
            <m:oMath>
              <m:r>
                <m:rPr>
                  <m:sty m:val="p"/>
                </m:rPr>
                <m:t>+</m:t>
              </m:r>
              <m:r>
                <m:t>0.67086</m:t>
              </m:r>
            </m:oMath>
          </w:p>
        </w:tc>
        <w:tc>
          <w:tcPr/>
          <w:p>
            <w:pPr>
              <w:pStyle w:val="Compact"/>
              <w:spacing w:line="240" w:lineRule="auto"/>
              <w:jc w:val="right"/>
            </w:pPr>
            <m:oMath>
              <m:r>
                <m:t>2.38</m:t>
              </m:r>
              <m:r>
                <m:t>​</m:t>
              </m:r>
              <m:r>
                <m:rPr>
                  <m:sty m:val="p"/>
                </m:rPr>
                <m:t>×</m:t>
              </m:r>
              <m:r>
                <m:t>​</m:t>
              </m:r>
              <m:sSup>
                <m:e>
                  <m:r>
                    <m:t>10</m:t>
                  </m:r>
                </m:e>
                <m:sup>
                  <m:r>
                    <m:rPr>
                      <m:sty m:val="p"/>
                    </m:rPr>
                    <m:t>−</m:t>
                  </m:r>
                  <m:r>
                    <m:t>4</m:t>
                  </m:r>
                </m:sup>
              </m:sSup>
            </m:oMath>
          </w:p>
        </w:tc>
        <w:tc>
          <w:tcPr/>
          <w:p>
            <w:pPr>
              <w:pStyle w:val="Compact"/>
              <w:spacing w:line="240" w:lineRule="auto"/>
              <w:jc w:val="right"/>
            </w:pPr>
            <m:oMath>
              <m:r>
                <m:t>3.55</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0.5</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0.95</m:t>
              </m:r>
            </m:oMath>
          </w:p>
        </w:tc>
        <w:tc>
          <w:tcPr/>
          <w:p>
            <w:pPr>
              <w:pStyle w:val="Compact"/>
              <w:spacing w:line="240" w:lineRule="auto"/>
            </w:pPr>
            <m:oMath>
              <m:sSub>
                <m:e>
                  <m:r>
                    <m:t>x</m:t>
                  </m:r>
                </m:e>
                <m:sub>
                  <m:r>
                    <m:t>c</m:t>
                  </m:r>
                </m:sub>
              </m:sSub>
            </m:oMath>
          </w:p>
        </w:tc>
        <w:tc>
          <w:tcPr/>
          <w:p>
            <w:pPr>
              <w:pStyle w:val="Compact"/>
              <w:spacing w:line="240" w:lineRule="auto"/>
              <w:jc w:val="right"/>
            </w:pPr>
            <m:oMath>
              <m:r>
                <m:rPr>
                  <m:sty m:val="p"/>
                </m:rPr>
                <m:t>−</m:t>
              </m:r>
              <m:r>
                <m:t>0.15821</m:t>
              </m:r>
            </m:oMath>
          </w:p>
        </w:tc>
        <w:tc>
          <w:tcPr/>
          <w:p>
            <w:pPr>
              <w:pStyle w:val="Compact"/>
              <w:spacing w:line="240" w:lineRule="auto"/>
              <w:jc w:val="right"/>
            </w:pPr>
            <m:oMath>
              <m:r>
                <m:rPr>
                  <m:sty m:val="p"/>
                </m:rPr>
                <m:t>−</m:t>
              </m:r>
              <m:r>
                <m:t>0.15833</m:t>
              </m:r>
            </m:oMath>
          </w:p>
        </w:tc>
        <w:tc>
          <w:tcPr/>
          <w:p>
            <w:pPr>
              <w:pStyle w:val="Compact"/>
              <w:spacing w:line="240" w:lineRule="auto"/>
              <w:jc w:val="right"/>
            </w:pPr>
            <m:oMath>
              <m:r>
                <m:t>1.26</m:t>
              </m:r>
              <m:r>
                <m:t>​</m:t>
              </m:r>
              <m:r>
                <m:rPr>
                  <m:sty m:val="p"/>
                </m:rPr>
                <m:t>×</m:t>
              </m:r>
              <m:r>
                <m:t>​</m:t>
              </m:r>
              <m:sSup>
                <m:e>
                  <m:r>
                    <m:t>10</m:t>
                  </m:r>
                </m:e>
                <m:sup>
                  <m:r>
                    <m:rPr>
                      <m:sty m:val="p"/>
                    </m:rPr>
                    <m:t>−</m:t>
                  </m:r>
                  <m:r>
                    <m:t>4</m:t>
                  </m:r>
                </m:sup>
              </m:sSup>
            </m:oMath>
          </w:p>
        </w:tc>
        <w:tc>
          <w:tcPr/>
          <w:p>
            <w:pPr>
              <w:pStyle w:val="Compact"/>
              <w:spacing w:line="240" w:lineRule="auto"/>
              <w:jc w:val="right"/>
            </w:pPr>
            <m:oMath>
              <m:r>
                <m:t>7.96</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0.5</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0.95</m:t>
              </m:r>
            </m:oMath>
          </w:p>
        </w:tc>
        <w:tc>
          <w:tcPr/>
          <w:p>
            <w:pPr>
              <w:pStyle w:val="Compact"/>
              <w:spacing w:line="240" w:lineRule="auto"/>
            </w:pPr>
            <m:oMath>
              <m:sSub>
                <m:e>
                  <m:r>
                    <m:t>I</m:t>
                  </m:r>
                </m:e>
                <m:sub>
                  <m:r>
                    <m:t>y</m:t>
                  </m:r>
                  <m:r>
                    <m:t>y</m:t>
                  </m:r>
                </m:sub>
              </m:sSub>
            </m:oMath>
          </w:p>
        </w:tc>
        <w:tc>
          <w:tcPr/>
          <w:p>
            <w:pPr>
              <w:pStyle w:val="Compact"/>
              <w:spacing w:line="240" w:lineRule="auto"/>
              <w:jc w:val="right"/>
            </w:pPr>
            <m:oMath>
              <m:r>
                <m:rPr>
                  <m:sty m:val="p"/>
                </m:rPr>
                <m:t>+</m:t>
              </m:r>
              <m:r>
                <m:t>0.50040</m:t>
              </m:r>
            </m:oMath>
          </w:p>
        </w:tc>
        <w:tc>
          <w:tcPr/>
          <w:p>
            <w:pPr>
              <w:pStyle w:val="Compact"/>
              <w:spacing w:line="240" w:lineRule="auto"/>
              <w:jc w:val="right"/>
            </w:pPr>
            <m:oMath>
              <m:r>
                <m:rPr>
                  <m:sty m:val="p"/>
                </m:rPr>
                <m:t>+</m:t>
              </m:r>
              <m:r>
                <m:t>0.50004</m:t>
              </m:r>
            </m:oMath>
          </w:p>
        </w:tc>
        <w:tc>
          <w:tcPr/>
          <w:p>
            <w:pPr>
              <w:pStyle w:val="Compact"/>
              <w:spacing w:line="240" w:lineRule="auto"/>
              <w:jc w:val="right"/>
            </w:pPr>
            <m:oMath>
              <m:r>
                <m:t>3.59</m:t>
              </m:r>
              <m:r>
                <m:t>​</m:t>
              </m:r>
              <m:r>
                <m:rPr>
                  <m:sty m:val="p"/>
                </m:rPr>
                <m:t>×</m:t>
              </m:r>
              <m:r>
                <m:t>​</m:t>
              </m:r>
              <m:sSup>
                <m:e>
                  <m:r>
                    <m:t>10</m:t>
                  </m:r>
                </m:e>
                <m:sup>
                  <m:r>
                    <m:rPr>
                      <m:sty m:val="p"/>
                    </m:rPr>
                    <m:t>−</m:t>
                  </m:r>
                  <m:r>
                    <m:t>4</m:t>
                  </m:r>
                </m:sup>
              </m:sSup>
            </m:oMath>
          </w:p>
        </w:tc>
        <w:tc>
          <w:tcPr/>
          <w:p>
            <w:pPr>
              <w:pStyle w:val="Compact"/>
              <w:spacing w:line="240" w:lineRule="auto"/>
              <w:jc w:val="right"/>
            </w:pPr>
            <m:oMath>
              <m:r>
                <m:t>7.17</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0.7</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0.00</m:t>
              </m:r>
            </m:oMath>
          </w:p>
        </w:tc>
        <w:tc>
          <w:tcPr/>
          <w:p>
            <w:pPr>
              <w:pStyle w:val="Compact"/>
              <w:spacing w:line="240" w:lineRule="auto"/>
            </w:pPr>
            <m:oMath>
              <m:r>
                <m:t>A</m:t>
              </m:r>
            </m:oMath>
          </w:p>
        </w:tc>
        <w:tc>
          <w:tcPr/>
          <w:p>
            <w:pPr>
              <w:pStyle w:val="Compact"/>
              <w:spacing w:line="240" w:lineRule="auto"/>
              <w:jc w:val="right"/>
            </w:pPr>
            <m:oMath>
              <m:r>
                <m:rPr>
                  <m:sty m:val="p"/>
                </m:rPr>
                <m:t>+</m:t>
              </m:r>
              <m:r>
                <m:t>1.60188</m:t>
              </m:r>
            </m:oMath>
          </w:p>
        </w:tc>
        <w:tc>
          <w:tcPr/>
          <w:p>
            <w:pPr>
              <w:pStyle w:val="Compact"/>
              <w:spacing w:line="240" w:lineRule="auto"/>
              <w:jc w:val="right"/>
            </w:pPr>
            <m:oMath>
              <m:r>
                <m:rPr>
                  <m:sty m:val="p"/>
                </m:rPr>
                <m:t>+</m:t>
              </m:r>
              <m:r>
                <m:t>1.60221</m:t>
              </m:r>
            </m:oMath>
          </w:p>
        </w:tc>
        <w:tc>
          <w:tcPr/>
          <w:p>
            <w:pPr>
              <w:pStyle w:val="Compact"/>
              <w:spacing w:line="240" w:lineRule="auto"/>
              <w:jc w:val="right"/>
            </w:pPr>
            <m:oMath>
              <m:r>
                <m:t>3.37</m:t>
              </m:r>
              <m:r>
                <m:t>​</m:t>
              </m:r>
              <m:r>
                <m:rPr>
                  <m:sty m:val="p"/>
                </m:rPr>
                <m:t>×</m:t>
              </m:r>
              <m:r>
                <m:t>​</m:t>
              </m:r>
              <m:sSup>
                <m:e>
                  <m:r>
                    <m:t>10</m:t>
                  </m:r>
                </m:e>
                <m:sup>
                  <m:r>
                    <m:rPr>
                      <m:sty m:val="p"/>
                    </m:rPr>
                    <m:t>−</m:t>
                  </m:r>
                  <m:r>
                    <m:t>4</m:t>
                  </m:r>
                </m:sup>
              </m:sSup>
            </m:oMath>
          </w:p>
        </w:tc>
        <w:tc>
          <w:tcPr/>
          <w:p>
            <w:pPr>
              <w:pStyle w:val="Compact"/>
              <w:spacing w:line="240" w:lineRule="auto"/>
              <w:jc w:val="right"/>
            </w:pPr>
            <m:oMath>
              <m:r>
                <m:t>2.10</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0.7</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0.00</m:t>
              </m:r>
            </m:oMath>
          </w:p>
        </w:tc>
        <w:tc>
          <w:tcPr/>
          <w:p>
            <w:pPr>
              <w:pStyle w:val="Compact"/>
              <w:spacing w:line="240" w:lineRule="auto"/>
            </w:pPr>
            <m:oMath>
              <m:sSub>
                <m:e>
                  <m:r>
                    <m:t>I</m:t>
                  </m:r>
                </m:e>
                <m:sub>
                  <m:r>
                    <m:t>x</m:t>
                  </m:r>
                  <m:r>
                    <m:t>x</m:t>
                  </m:r>
                </m:sub>
              </m:sSub>
            </m:oMath>
          </w:p>
        </w:tc>
        <w:tc>
          <w:tcPr/>
          <w:p>
            <w:pPr>
              <w:pStyle w:val="Compact"/>
              <w:spacing w:line="240" w:lineRule="auto"/>
              <w:jc w:val="right"/>
            </w:pPr>
            <m:oMath>
              <m:r>
                <m:rPr>
                  <m:sty m:val="p"/>
                </m:rPr>
                <m:t>+</m:t>
              </m:r>
              <m:r>
                <m:t>0.59681</m:t>
              </m:r>
            </m:oMath>
          </w:p>
        </w:tc>
        <w:tc>
          <w:tcPr/>
          <w:p>
            <w:pPr>
              <w:pStyle w:val="Compact"/>
              <w:spacing w:line="240" w:lineRule="auto"/>
              <w:jc w:val="right"/>
            </w:pPr>
            <m:oMath>
              <m:r>
                <m:rPr>
                  <m:sty m:val="p"/>
                </m:rPr>
                <m:t>+</m:t>
              </m:r>
              <m:r>
                <m:t>0.59682</m:t>
              </m:r>
            </m:oMath>
          </w:p>
        </w:tc>
        <w:tc>
          <w:tcPr/>
          <w:p>
            <w:pPr>
              <w:pStyle w:val="Compact"/>
              <w:spacing w:line="240" w:lineRule="auto"/>
              <w:jc w:val="right"/>
            </w:pPr>
            <m:oMath>
              <m:r>
                <m:t>1.03</m:t>
              </m:r>
              <m:r>
                <m:t>​</m:t>
              </m:r>
              <m:r>
                <m:rPr>
                  <m:sty m:val="p"/>
                </m:rPr>
                <m:t>×</m:t>
              </m:r>
              <m:r>
                <m:t>​</m:t>
              </m:r>
              <m:sSup>
                <m:e>
                  <m:r>
                    <m:t>10</m:t>
                  </m:r>
                </m:e>
                <m:sup>
                  <m:r>
                    <m:rPr>
                      <m:sty m:val="p"/>
                    </m:rPr>
                    <m:t>−</m:t>
                  </m:r>
                  <m:r>
                    <m:t>5</m:t>
                  </m:r>
                </m:sup>
              </m:sSup>
            </m:oMath>
          </w:p>
        </w:tc>
        <w:tc>
          <w:tcPr/>
          <w:p>
            <w:pPr>
              <w:pStyle w:val="Compact"/>
              <w:spacing w:line="240" w:lineRule="auto"/>
              <w:jc w:val="right"/>
            </w:pPr>
            <m:oMath>
              <m:r>
                <m:t>1.73</m:t>
              </m:r>
              <m:r>
                <m:t>​</m:t>
              </m:r>
              <m:r>
                <m:rPr>
                  <m:sty m:val="p"/>
                </m:rPr>
                <m:t>×</m:t>
              </m:r>
              <m:r>
                <m:t>​</m:t>
              </m:r>
              <m:sSup>
                <m:e>
                  <m:r>
                    <m:t>10</m:t>
                  </m:r>
                </m:e>
                <m:sup>
                  <m:r>
                    <m:rPr>
                      <m:sty m:val="p"/>
                    </m:rPr>
                    <m:t>−</m:t>
                  </m:r>
                  <m:r>
                    <m:t>5</m:t>
                  </m:r>
                </m:sup>
              </m:sSup>
            </m:oMath>
          </w:p>
        </w:tc>
      </w:tr>
      <w:tr>
        <w:tc>
          <w:tcPr/>
          <w:p>
            <w:pPr>
              <w:pStyle w:val="Compact"/>
              <w:spacing w:line="240" w:lineRule="auto"/>
            </w:pPr>
            <m:oMath>
              <m:sSub>
                <m:e>
                  <m:r>
                    <m:t>r</m:t>
                  </m:r>
                </m:e>
                <m:sub>
                  <m:r>
                    <m:t>d</m:t>
                  </m:r>
                </m:sub>
              </m:sSub>
              <m:r>
                <m:rPr>
                  <m:sty m:val="p"/>
                </m:rPr>
                <m:t>/</m:t>
              </m:r>
              <m:r>
                <m:t>R</m:t>
              </m:r>
              <m:r>
                <m:rPr>
                  <m:sty m:val="p"/>
                </m:rPr>
                <m:t>=</m:t>
              </m:r>
              <m:r>
                <m:t>0.7</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0.50</m:t>
              </m:r>
            </m:oMath>
          </w:p>
        </w:tc>
        <w:tc>
          <w:tcPr/>
          <w:p>
            <w:pPr>
              <w:pStyle w:val="Compact"/>
              <w:spacing w:line="240" w:lineRule="auto"/>
            </w:pPr>
            <m:oMath>
              <m:sSub>
                <m:e>
                  <m:r>
                    <m:t>x</m:t>
                  </m:r>
                </m:e>
                <m:sub>
                  <m:r>
                    <m:t>c</m:t>
                  </m:r>
                </m:sub>
              </m:sSub>
            </m:oMath>
          </w:p>
        </w:tc>
        <w:tc>
          <w:tcPr/>
          <w:p>
            <w:pPr>
              <w:pStyle w:val="Compact"/>
              <w:spacing w:line="240" w:lineRule="auto"/>
              <w:jc w:val="right"/>
            </w:pPr>
            <m:oMath>
              <m:r>
                <m:rPr>
                  <m:sty m:val="p"/>
                </m:rPr>
                <m:t>−</m:t>
              </m:r>
              <m:r>
                <m:t>0.14421</m:t>
              </m:r>
            </m:oMath>
          </w:p>
        </w:tc>
        <w:tc>
          <w:tcPr/>
          <w:p>
            <w:pPr>
              <w:pStyle w:val="Compact"/>
              <w:spacing w:line="240" w:lineRule="auto"/>
              <w:jc w:val="right"/>
            </w:pPr>
            <m:oMath>
              <m:r>
                <m:rPr>
                  <m:sty m:val="p"/>
                </m:rPr>
                <m:t>−</m:t>
              </m:r>
              <m:r>
                <m:t>0.14412</m:t>
              </m:r>
            </m:oMath>
          </w:p>
        </w:tc>
        <w:tc>
          <w:tcPr/>
          <w:p>
            <w:pPr>
              <w:pStyle w:val="Compact"/>
              <w:spacing w:line="240" w:lineRule="auto"/>
              <w:jc w:val="right"/>
            </w:pPr>
            <m:oMath>
              <m:r>
                <m:t>8.84</m:t>
              </m:r>
              <m:r>
                <m:t>​</m:t>
              </m:r>
              <m:r>
                <m:rPr>
                  <m:sty m:val="p"/>
                </m:rPr>
                <m:t>×</m:t>
              </m:r>
              <m:r>
                <m:t>​</m:t>
              </m:r>
              <m:sSup>
                <m:e>
                  <m:r>
                    <m:t>10</m:t>
                  </m:r>
                </m:e>
                <m:sup>
                  <m:r>
                    <m:rPr>
                      <m:sty m:val="p"/>
                    </m:rPr>
                    <m:t>−</m:t>
                  </m:r>
                  <m:r>
                    <m:t>5</m:t>
                  </m:r>
                </m:sup>
              </m:sSup>
            </m:oMath>
          </w:p>
        </w:tc>
        <w:tc>
          <w:tcPr/>
          <w:p>
            <w:pPr>
              <w:pStyle w:val="Compact"/>
              <w:spacing w:line="240" w:lineRule="auto"/>
              <w:jc w:val="right"/>
            </w:pPr>
            <m:oMath>
              <m:r>
                <m:t>6.13</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0.7</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0.50</m:t>
              </m:r>
            </m:oMath>
          </w:p>
        </w:tc>
        <w:tc>
          <w:tcPr/>
          <w:p>
            <w:pPr>
              <w:pStyle w:val="Compact"/>
              <w:spacing w:line="240" w:lineRule="auto"/>
            </w:pPr>
            <m:oMath>
              <m:sSub>
                <m:e>
                  <m:r>
                    <m:t>I</m:t>
                  </m:r>
                </m:e>
                <m:sub>
                  <m:r>
                    <m:t>y</m:t>
                  </m:r>
                  <m:r>
                    <m:t>y</m:t>
                  </m:r>
                </m:sub>
              </m:sSub>
            </m:oMath>
          </w:p>
        </w:tc>
        <w:tc>
          <w:tcPr/>
          <w:p>
            <w:pPr>
              <w:pStyle w:val="Compact"/>
              <w:spacing w:line="240" w:lineRule="auto"/>
              <w:jc w:val="right"/>
            </w:pPr>
            <m:oMath>
              <m:r>
                <m:rPr>
                  <m:sty m:val="p"/>
                </m:rPr>
                <m:t>+</m:t>
              </m:r>
              <m:r>
                <m:t>0.52885</m:t>
              </m:r>
            </m:oMath>
          </w:p>
        </w:tc>
        <w:tc>
          <w:tcPr/>
          <w:p>
            <w:pPr>
              <w:pStyle w:val="Compact"/>
              <w:spacing w:line="240" w:lineRule="auto"/>
              <w:jc w:val="right"/>
            </w:pPr>
            <m:oMath>
              <m:r>
                <m:rPr>
                  <m:sty m:val="p"/>
                </m:rPr>
                <m:t>+</m:t>
              </m:r>
              <m:r>
                <m:t>0.52891</m:t>
              </m:r>
            </m:oMath>
          </w:p>
        </w:tc>
        <w:tc>
          <w:tcPr/>
          <w:p>
            <w:pPr>
              <w:pStyle w:val="Compact"/>
              <w:spacing w:line="240" w:lineRule="auto"/>
              <w:jc w:val="right"/>
            </w:pPr>
            <m:oMath>
              <m:r>
                <m:t>5.81</m:t>
              </m:r>
              <m:r>
                <m:t>​</m:t>
              </m:r>
              <m:r>
                <m:rPr>
                  <m:sty m:val="p"/>
                </m:rPr>
                <m:t>×</m:t>
              </m:r>
              <m:r>
                <m:t>​</m:t>
              </m:r>
              <m:sSup>
                <m:e>
                  <m:r>
                    <m:t>10</m:t>
                  </m:r>
                </m:e>
                <m:sup>
                  <m:r>
                    <m:rPr>
                      <m:sty m:val="p"/>
                    </m:rPr>
                    <m:t>−</m:t>
                  </m:r>
                  <m:r>
                    <m:t>5</m:t>
                  </m:r>
                </m:sup>
              </m:sSup>
            </m:oMath>
          </w:p>
        </w:tc>
        <w:tc>
          <w:tcPr/>
          <w:p>
            <w:pPr>
              <w:pStyle w:val="Compact"/>
              <w:spacing w:line="240" w:lineRule="auto"/>
              <w:jc w:val="right"/>
            </w:pPr>
            <m:oMath>
              <m:r>
                <m:t>1.10</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0.7</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0.95</m:t>
              </m:r>
            </m:oMath>
          </w:p>
        </w:tc>
        <w:tc>
          <w:tcPr/>
          <w:p>
            <w:pPr>
              <w:pStyle w:val="Compact"/>
              <w:spacing w:line="240" w:lineRule="auto"/>
            </w:pPr>
            <m:oMath>
              <m:sSub>
                <m:e>
                  <m:r>
                    <m:t>x</m:t>
                  </m:r>
                </m:e>
                <m:sub>
                  <m:r>
                    <m:t>c</m:t>
                  </m:r>
                </m:sub>
              </m:sSub>
            </m:oMath>
          </w:p>
        </w:tc>
        <w:tc>
          <w:tcPr/>
          <w:p>
            <w:pPr>
              <w:pStyle w:val="Compact"/>
              <w:spacing w:line="240" w:lineRule="auto"/>
              <w:jc w:val="right"/>
            </w:pPr>
            <m:oMath>
              <m:r>
                <m:rPr>
                  <m:sty m:val="p"/>
                </m:rPr>
                <m:t>−</m:t>
              </m:r>
              <m:r>
                <m:t>0.27373</m:t>
              </m:r>
            </m:oMath>
          </w:p>
        </w:tc>
        <w:tc>
          <w:tcPr/>
          <w:p>
            <w:pPr>
              <w:pStyle w:val="Compact"/>
              <w:spacing w:line="240" w:lineRule="auto"/>
              <w:jc w:val="right"/>
            </w:pPr>
            <m:oMath>
              <m:r>
                <m:rPr>
                  <m:sty m:val="p"/>
                </m:rPr>
                <m:t>−</m:t>
              </m:r>
              <m:r>
                <m:t>0.27382</m:t>
              </m:r>
            </m:oMath>
          </w:p>
        </w:tc>
        <w:tc>
          <w:tcPr/>
          <w:p>
            <w:pPr>
              <w:pStyle w:val="Compact"/>
              <w:spacing w:line="240" w:lineRule="auto"/>
              <w:jc w:val="right"/>
            </w:pPr>
            <m:oMath>
              <m:r>
                <m:t>9.01</m:t>
              </m:r>
              <m:r>
                <m:t>​</m:t>
              </m:r>
              <m:r>
                <m:rPr>
                  <m:sty m:val="p"/>
                </m:rPr>
                <m:t>×</m:t>
              </m:r>
              <m:r>
                <m:t>​</m:t>
              </m:r>
              <m:sSup>
                <m:e>
                  <m:r>
                    <m:t>10</m:t>
                  </m:r>
                </m:e>
                <m:sup>
                  <m:r>
                    <m:rPr>
                      <m:sty m:val="p"/>
                    </m:rPr>
                    <m:t>−</m:t>
                  </m:r>
                  <m:r>
                    <m:t>5</m:t>
                  </m:r>
                </m:sup>
              </m:sSup>
            </m:oMath>
          </w:p>
        </w:tc>
        <w:tc>
          <w:tcPr/>
          <w:p>
            <w:pPr>
              <w:pStyle w:val="Compact"/>
              <w:spacing w:line="240" w:lineRule="auto"/>
              <w:jc w:val="right"/>
            </w:pPr>
            <m:oMath>
              <m:r>
                <m:t>3.29</m:t>
              </m:r>
              <m:r>
                <m:t>​</m:t>
              </m:r>
              <m:r>
                <m:rPr>
                  <m:sty m:val="p"/>
                </m:rPr>
                <m:t>×</m:t>
              </m:r>
              <m:r>
                <m:t>​</m:t>
              </m:r>
              <m:sSup>
                <m:e>
                  <m:r>
                    <m:t>10</m:t>
                  </m:r>
                </m:e>
                <m:sup>
                  <m:r>
                    <m:rPr>
                      <m:sty m:val="p"/>
                    </m:rPr>
                    <m:t>−</m:t>
                  </m:r>
                  <m:r>
                    <m:t>4</m:t>
                  </m:r>
                </m:sup>
              </m:sSup>
            </m:oMath>
          </w:p>
        </w:tc>
      </w:tr>
      <w:tr>
        <w:tc>
          <w:tcPr/>
          <w:p>
            <w:pPr>
              <w:pStyle w:val="Compact"/>
              <w:spacing w:line="240" w:lineRule="auto"/>
            </w:pPr>
            <m:oMath>
              <m:sSub>
                <m:e>
                  <m:r>
                    <m:t>r</m:t>
                  </m:r>
                </m:e>
                <m:sub>
                  <m:r>
                    <m:t>d</m:t>
                  </m:r>
                </m:sub>
              </m:sSub>
              <m:r>
                <m:rPr>
                  <m:sty m:val="p"/>
                </m:rPr>
                <m:t>/</m:t>
              </m:r>
              <m:r>
                <m:t>R</m:t>
              </m:r>
              <m:r>
                <m:rPr>
                  <m:sty m:val="p"/>
                </m:rPr>
                <m:t>=</m:t>
              </m:r>
              <m:r>
                <m:t>0.7</m:t>
              </m:r>
            </m:oMath>
            <w:r>
              <w:rPr>
                <w:rFonts w:ascii="Times New Roman" w:hAnsi="Times New Roman"/>
                <w:color w:val="000000"/>
              </w:rPr>
              <w:t xml:space="preserve">,</w:t>
            </w:r>
            <w:r>
              <w:rPr>
                <w:rFonts w:ascii="Times New Roman" w:hAnsi="Times New Roman"/>
                <w:color w:val="000000"/>
              </w:rPr>
              <w:t xml:space="preserve"> </w:t>
            </w:r>
            <m:oMath>
              <m:sSub>
                <m:e>
                  <m:r>
                    <m:t>e</m:t>
                  </m:r>
                </m:e>
                <m:sub>
                  <m:r>
                    <m:rPr>
                      <m:nor/>
                      <m:sty m:val="p"/>
                    </m:rPr>
                    <m:t>norm</m:t>
                  </m:r>
                </m:sub>
              </m:sSub>
              <m:r>
                <m:rPr>
                  <m:sty m:val="p"/>
                </m:rPr>
                <m:t>=</m:t>
              </m:r>
              <m:r>
                <m:t>0.95</m:t>
              </m:r>
            </m:oMath>
          </w:p>
        </w:tc>
        <w:tc>
          <w:tcPr/>
          <w:p>
            <w:pPr>
              <w:pStyle w:val="Compact"/>
              <w:spacing w:line="240" w:lineRule="auto"/>
            </w:pPr>
            <m:oMath>
              <m:sSub>
                <m:e>
                  <m:r>
                    <m:t>I</m:t>
                  </m:r>
                </m:e>
                <m:sub>
                  <m:r>
                    <m:t>y</m:t>
                  </m:r>
                  <m:r>
                    <m:t>y</m:t>
                  </m:r>
                </m:sub>
              </m:sSub>
            </m:oMath>
          </w:p>
        </w:tc>
        <w:tc>
          <w:tcPr/>
          <w:p>
            <w:pPr>
              <w:pStyle w:val="Compact"/>
              <w:spacing w:line="240" w:lineRule="auto"/>
              <w:jc w:val="right"/>
            </w:pPr>
            <m:oMath>
              <m:r>
                <m:rPr>
                  <m:sty m:val="p"/>
                </m:rPr>
                <m:t>+</m:t>
              </m:r>
              <m:r>
                <m:t>0.35179</m:t>
              </m:r>
            </m:oMath>
          </w:p>
        </w:tc>
        <w:tc>
          <w:tcPr/>
          <w:p>
            <w:pPr>
              <w:pStyle w:val="Compact"/>
              <w:spacing w:line="240" w:lineRule="auto"/>
              <w:jc w:val="right"/>
            </w:pPr>
            <m:oMath>
              <m:r>
                <m:rPr>
                  <m:sty m:val="p"/>
                </m:rPr>
                <m:t>+</m:t>
              </m:r>
              <m:r>
                <m:t>0.35166</m:t>
              </m:r>
            </m:oMath>
          </w:p>
        </w:tc>
        <w:tc>
          <w:tcPr/>
          <w:p>
            <w:pPr>
              <w:pStyle w:val="Compact"/>
              <w:spacing w:line="240" w:lineRule="auto"/>
              <w:jc w:val="right"/>
            </w:pPr>
            <m:oMath>
              <m:r>
                <m:t>1.31</m:t>
              </m:r>
              <m:r>
                <m:t>​</m:t>
              </m:r>
              <m:r>
                <m:rPr>
                  <m:sty m:val="p"/>
                </m:rPr>
                <m:t>×</m:t>
              </m:r>
              <m:r>
                <m:t>​</m:t>
              </m:r>
              <m:sSup>
                <m:e>
                  <m:r>
                    <m:t>10</m:t>
                  </m:r>
                </m:e>
                <m:sup>
                  <m:r>
                    <m:rPr>
                      <m:sty m:val="p"/>
                    </m:rPr>
                    <m:t>−</m:t>
                  </m:r>
                  <m:r>
                    <m:t>4</m:t>
                  </m:r>
                </m:sup>
              </m:sSup>
            </m:oMath>
          </w:p>
        </w:tc>
        <w:tc>
          <w:tcPr/>
          <w:p>
            <w:pPr>
              <w:pStyle w:val="Compact"/>
              <w:spacing w:line="240" w:lineRule="auto"/>
              <w:jc w:val="right"/>
            </w:pPr>
            <m:oMath>
              <m:r>
                <m:t>3.71</m:t>
              </m:r>
              <m:r>
                <m:t>​</m:t>
              </m:r>
              <m:r>
                <m:rPr>
                  <m:sty m:val="p"/>
                </m:rPr>
                <m:t>×</m:t>
              </m:r>
              <m:r>
                <m:t>​</m:t>
              </m:r>
              <m:sSup>
                <m:e>
                  <m:r>
                    <m:t>10</m:t>
                  </m:r>
                </m:e>
                <m:sup>
                  <m:r>
                    <m:rPr>
                      <m:sty m:val="p"/>
                    </m:rPr>
                    <m:t>−</m:t>
                  </m:r>
                  <m:r>
                    <m:t>4</m:t>
                  </m:r>
                </m:sup>
              </m:sSup>
            </m:oMath>
          </w:p>
        </w:tc>
      </w:tr>
    </w:tbl>
    <w:p>
      <w:pPr>
        <w:pStyle w:val="BodyText"/>
        <w:spacing w:line="480" w:lineRule="auto"/>
      </w:pPr>
      <w:r>
        <w:rPr>
          <w:rFonts w:ascii="Times New Roman" w:hAnsi="Times New Roman" w:cs="Times New Roman"/>
          <w:color w:val="000000"/>
          <w:sz w:val="24"/>
        </w:rPr>
        <w:t xml:space="preserve">Across all 36 quantity-case combinations (6 cases × 6 section properties), the maximum relative error is</w:t>
      </w:r>
      <w:r>
        <w:rPr>
          <w:rFonts w:ascii="Times New Roman" w:hAnsi="Times New Roman" w:cs="Times New Roman"/>
          <w:color w:val="000000"/>
          <w:sz w:val="24"/>
        </w:rPr>
        <w:t xml:space="preserve"> </w:t>
      </w:r>
      <m:oMath>
        <m:r>
          <m:t>7.96</m:t>
        </m:r>
        <m:r>
          <m:rPr>
            <m:sty m:val="p"/>
          </m:rPr>
          <m:t>×</m:t>
        </m:r>
        <m:sSup>
          <m:e>
            <m:r>
              <m:t>10</m:t>
            </m:r>
          </m:e>
          <m:sup>
            <m:r>
              <m:rPr>
                <m:sty m:val="p"/>
              </m:rPr>
              <m:t>−</m:t>
            </m:r>
            <m:r>
              <m:t>4</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(i.e., &lt; 0.1 %) and the maximum absolute error is</w:t>
      </w:r>
      <w:r>
        <w:rPr>
          <w:rFonts w:ascii="Times New Roman" w:hAnsi="Times New Roman" w:cs="Times New Roman"/>
          <w:color w:val="000000"/>
          <w:sz w:val="24"/>
        </w:rPr>
        <w:t xml:space="preserve"> </w:t>
      </w:r>
      <m:oMath>
        <m:r>
          <m:t>6.81</m:t>
        </m:r>
        <m:r>
          <m:rPr>
            <m:sty m:val="p"/>
          </m:rPr>
          <m:t>×</m:t>
        </m:r>
        <m:sSup>
          <m:e>
            <m:r>
              <m:t>10</m:t>
            </m:r>
          </m:e>
          <m:sup>
            <m:r>
              <m:rPr>
                <m:sty m:val="p"/>
              </m:rPr>
              <m:t>−</m:t>
            </m:r>
            <m:r>
              <m:t>4</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on the dimensionless area (</w:t>
      </w:r>
      <m:oMath>
        <m:r>
          <m:t>R</m:t>
        </m:r>
        <m:r>
          <m:rPr>
            <m:sty m:val="p"/>
          </m:rPr>
          <m:t>=</m:t>
        </m:r>
        <m:r>
          <m:t>1</m:t>
        </m:r>
      </m:oMath>
      <w:r>
        <w:rPr>
          <w:rFonts w:ascii="Times New Roman" w:hAnsi="Times New Roman" w:cs="Times New Roman"/>
          <w:color w:val="000000"/>
          <w:sz w:val="24"/>
        </w:rPr>
        <w:t xml:space="preserve">). For the off-diagonal inertia</w:t>
      </w:r>
      <w:r>
        <w:rPr>
          <w:rFonts w:ascii="Times New Roman" w:hAnsi="Times New Roman" w:cs="Times New Roman"/>
          <w:color w:val="000000"/>
          <w:sz w:val="24"/>
        </w:rPr>
        <w:t xml:space="preserve"> </w:t>
      </w:r>
      <m:oMath>
        <m:sSub>
          <m:e>
            <m:r>
              <m:t>I</m:t>
            </m:r>
          </m:e>
          <m:sub>
            <m:r>
              <m:t>x</m:t>
            </m:r>
            <m:r>
              <m:t>y</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and the orthogonal centroid component</w:t>
      </w:r>
      <w:r>
        <w:rPr>
          <w:rFonts w:ascii="Times New Roman" w:hAnsi="Times New Roman" w:cs="Times New Roman"/>
          <w:color w:val="000000"/>
          <w:sz w:val="24"/>
        </w:rPr>
        <w:t xml:space="preserve"> </w:t>
      </w:r>
      <m:oMath>
        <m:sSub>
          <m:e>
            <m:r>
              <m:t>y</m:t>
            </m:r>
          </m:e>
          <m:sub>
            <m:r>
              <m:t>c</m:t>
            </m:r>
          </m:sub>
        </m:sSub>
      </m:oMath>
      <w:r>
        <w:rPr>
          <w:rFonts w:ascii="Times New Roman" w:hAnsi="Times New Roman" w:cs="Times New Roman"/>
          <w:color w:val="000000"/>
          <w:sz w:val="24"/>
        </w:rPr>
        <w:t xml:space="preserve"> </w:t>
      </w:r>
      <w:r>
        <w:rPr>
          <w:rFonts w:ascii="Times New Roman" w:hAnsi="Times New Roman" w:cs="Times New Roman"/>
          <w:color w:val="000000"/>
          <w:sz w:val="24"/>
        </w:rPr>
        <w:t xml:space="preserve">— both expected to be exactly zero by the symmetry of the test cases (cavity offset along</w:t>
      </w:r>
      <w:r>
        <w:rPr>
          <w:rFonts w:ascii="Times New Roman" w:hAnsi="Times New Roman" w:cs="Times New Roman"/>
          <w:color w:val="000000"/>
          <w:sz w:val="24"/>
        </w:rPr>
        <w:t xml:space="preserve"> </w:t>
      </w:r>
      <m:oMath>
        <m:r>
          <m:rPr>
            <m:sty m:val="p"/>
          </m:rPr>
          <m:t>+</m:t>
        </m:r>
        <m:r>
          <m:t>x</m:t>
        </m:r>
      </m:oMath>
      <w:r>
        <w:rPr>
          <w:rFonts w:ascii="Times New Roman" w:hAnsi="Times New Roman" w:cs="Times New Roman"/>
          <w:color w:val="000000"/>
          <w:sz w:val="24"/>
        </w:rPr>
        <w:t xml:space="preserve">) — ABAQUS returns numerical values within machine round-off (</w:t>
      </w:r>
      <m:oMath>
        <m:r>
          <m:rPr>
            <m:sty m:val="p"/>
          </m:rPr>
          <m:t>&lt;</m:t>
        </m:r>
        <m:sSup>
          <m:e>
            <m:r>
              <m:t>10</m:t>
            </m:r>
          </m:e>
          <m:sup>
            <m:r>
              <m:rPr>
                <m:sty m:val="p"/>
              </m:rPr>
              <m:t>−</m:t>
            </m:r>
            <m:r>
              <m:t>15</m:t>
            </m:r>
          </m:sup>
        </m:sSup>
      </m:oMath>
      <w:r>
        <w:rPr>
          <w:rFonts w:ascii="Times New Roman" w:hAnsi="Times New Roman" w:cs="Times New Roman"/>
          <w:color w:val="000000"/>
          <w:sz w:val="24"/>
        </w:rPr>
        <w:t xml:space="preserve">), confirming that the framework correctly handles symmetric configurations. The residual relative error is dominated by mesh discretisation: the boundary of the outer disk is approximated by axis-aligned</w:t>
      </w:r>
      <w:r>
        <w:rPr>
          <w:rFonts w:ascii="Times New Roman" w:hAnsi="Times New Roman" w:cs="Times New Roman"/>
          <w:color w:val="000000"/>
          <w:sz w:val="24"/>
        </w:rPr>
        <w:t xml:space="preserve"> </w:t>
      </w:r>
      <m:oMath>
        <m:r>
          <m:rPr>
            <m:sty m:val="p"/>
          </m:rPr>
          <m:t>Δ</m:t>
        </m:r>
        <m:r>
          <m:rPr>
            <m:sty m:val="p"/>
          </m:rPr>
          <m:t>=</m:t>
        </m:r>
        <m:r>
          <m:t>R</m:t>
        </m:r>
        <m:r>
          <m:rPr>
            <m:sty m:val="p"/>
          </m:rPr>
          <m:t>/</m:t>
        </m:r>
        <m:r>
          <m:t>80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steps, which introduces a quadratic-in-</w:t>
      </w:r>
      <m:oMath>
        <m:r>
          <m:rPr>
            <m:sty m:val="p"/>
          </m:rPr>
          <m:t>Δ</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approximation of the area along the curved boundary. Numerical experiments with</w:t>
      </w:r>
      <w:r>
        <w:rPr>
          <w:rFonts w:ascii="Times New Roman" w:hAnsi="Times New Roman" w:cs="Times New Roman"/>
          <w:color w:val="000000"/>
          <w:sz w:val="24"/>
        </w:rPr>
        <w:t xml:space="preserve"> </w:t>
      </w:r>
      <m:oMath>
        <m:r>
          <m:rPr>
            <m:sty m:val="p"/>
          </m:rPr>
          <m:t>Δ</m:t>
        </m:r>
        <m:r>
          <m:rPr>
            <m:sty m:val="p"/>
          </m:rPr>
          <m:t>=</m:t>
        </m:r>
        <m:r>
          <m:t>R</m:t>
        </m:r>
        <m:r>
          <m:rPr>
            <m:sty m:val="p"/>
          </m:rPr>
          <m:t>/</m:t>
        </m:r>
        <m:r>
          <m:t>160</m:t>
        </m:r>
      </m:oMath>
      <w:r>
        <w:rPr>
          <w:rFonts w:ascii="Times New Roman" w:hAnsi="Times New Roman" w:cs="Times New Roman"/>
          <w:color w:val="000000"/>
          <w:sz w:val="24"/>
        </w:rPr>
        <w:t xml:space="preserve"> </w:t>
      </w:r>
      <w:r>
        <w:rPr>
          <w:rFonts w:ascii="Times New Roman" w:hAnsi="Times New Roman" w:cs="Times New Roman"/>
          <w:color w:val="000000"/>
          <w:sz w:val="24"/>
        </w:rPr>
        <w:t xml:space="preserve">(not shown) reduce this error by a factor of approximately four, consistent with second-order convergence and confirming that the residual is purely mesh-related rather than a defect of the closed-form formulas.</w:t>
      </w:r>
    </w:p>
    <w:p>
      <w:pPr>
        <w:pStyle w:val="BodyText"/>
        <w:spacing w:line="480" w:lineRule="auto"/>
      </w:pPr>
      <w:r>
        <w:rPr>
          <w:rFonts w:ascii="Times New Roman" w:hAnsi="Times New Roman" w:cs="Times New Roman"/>
          <w:color w:val="000000"/>
          <w:sz w:val="24"/>
        </w:rPr>
        <w:t xml:space="preserve">We conclude that the closed-form expressions implemented in</w:t>
      </w:r>
      <w:r>
        <w:rPr>
          <w:rFonts w:ascii="Times New Roman" w:hAnsi="Times New Roman" w:cs="Times New Roman"/>
          <w:color w:val="000000"/>
          <w:sz w:val="24"/>
        </w:rPr>
        <w:t xml:space="preserve"> </w:t>
      </w:r>
      <w:r>
        <w:rPr>
          <w:rStyle w:val="VerbatimChar"/>
          <w:rFonts w:ascii="Times New Roman" w:hAnsi="Times New Roman" w:cs="Times New Roman"/>
          <w:color w:val="000000"/>
          <w:sz w:val="24"/>
        </w:rPr>
        <w:t xml:space="preserve">geometry.py</w:t>
      </w:r>
      <w:r>
        <w:rPr>
          <w:rFonts w:ascii="Times New Roman" w:hAnsi="Times New Roman" w:cs="Times New Roman"/>
          <w:color w:val="000000"/>
          <w:sz w:val="24"/>
        </w:rPr>
        <w:t xml:space="preserve"> </w:t>
      </w:r>
      <w:r>
        <w:rPr>
          <w:rFonts w:ascii="Times New Roman" w:hAnsi="Times New Roman" w:cs="Times New Roman"/>
          <w:color w:val="000000"/>
          <w:sz w:val="24"/>
        </w:rPr>
        <w:t xml:space="preserve">reproduce the ABAQUS finite-element values to within mesh-discretisation error in the most demanding case (severe eccentricity at</w:t>
      </w:r>
      <w:r>
        <w:rPr>
          <w:rFonts w:ascii="Times New Roman" w:hAnsi="Times New Roman" w:cs="Times New Roman"/>
          <w:color w:val="000000"/>
          <w:sz w:val="24"/>
        </w:rPr>
        <w:t xml:space="preserve"> </w:t>
      </w:r>
      <m:oMath>
        <m:sSub>
          <m:e>
            <m:r>
              <m:t>e</m:t>
            </m:r>
          </m:e>
          <m:sub>
            <m:r>
              <m:rPr>
                <m:nor/>
                <m:sty m:val="p"/>
              </m:rPr>
              <m:t>norm</m:t>
            </m:r>
          </m:sub>
        </m:sSub>
        <m:r>
          <m:rPr>
            <m:sty m:val="p"/>
          </m:rPr>
          <m:t>=</m:t>
        </m:r>
        <m:r>
          <m:t>0.95</m:t>
        </m:r>
      </m:oMath>
      <w:r>
        <w:rPr>
          <w:rFonts w:ascii="Times New Roman" w:hAnsi="Times New Roman" w:cs="Times New Roman"/>
          <w:color w:val="000000"/>
          <w:sz w:val="24"/>
        </w:rPr>
        <w:t xml:space="preserve">), and to better than</w:t>
      </w:r>
      <w:r>
        <w:rPr>
          <w:rFonts w:ascii="Times New Roman" w:hAnsi="Times New Roman" w:cs="Times New Roman"/>
          <w:color w:val="000000"/>
          <w:sz w:val="24"/>
        </w:rPr>
        <w:t xml:space="preserve"> </w:t>
      </w:r>
      <m:oMath>
        <m:sSup>
          <m:e>
            <m:r>
              <m:t>10</m:t>
            </m:r>
          </m:e>
          <m:sup>
            <m:r>
              <m:rPr>
                <m:sty m:val="p"/>
              </m:rPr>
              <m:t>−</m:t>
            </m:r>
            <m:r>
              <m:t>4</m:t>
            </m:r>
          </m:sup>
        </m:sSup>
      </m:oMath>
      <w:r>
        <w:rPr>
          <w:rFonts w:ascii="Times New Roman" w:hAnsi="Times New Roman" w:cs="Times New Roman"/>
          <w:color w:val="000000"/>
          <w:sz w:val="24"/>
        </w:rPr>
        <w:t xml:space="preserve"> </w:t>
      </w:r>
      <w:r>
        <w:rPr>
          <w:rFonts w:ascii="Times New Roman" w:hAnsi="Times New Roman" w:cs="Times New Roman"/>
          <w:color w:val="000000"/>
          <w:sz w:val="24"/>
        </w:rPr>
        <w:t xml:space="preserve">in the more representative cases. This independent verification, in addition to the analytical Mattheck-limit check (Section 3.1) and the direct grid-integration cross-check (Section 2.6 (iv)), constitutes the third leg of the framework’s correctness argument.</w:t>
      </w:r>
    </w:p>
    <w:p>
      <w:pPr>
        <w:pStyle w:val="BodyText"/>
        <w:spacing w:line="480" w:lineRule="auto"/>
      </w:pPr>
      <w:r>
        <w:rPr>
          <w:rFonts w:ascii="Times New Roman" w:hAnsi="Times New Roman" w:cs="Times New Roman"/>
          <w:color w:val="000000"/>
          <w:sz w:val="24"/>
        </w:rPr>
        <w:t xml:space="preserve">Figure A1 visualises the per-quantity error distribution and the parity plot.</w:t>
      </w:r>
    </w:p>
    <w:p>
      <w:pPr>
        <w:spacing w:line="480" w:lineRule="auto"/>
      </w:pPr>
      <w:r>
        <w:rPr>
          <w:rFonts w:ascii="Times New Roman" w:hAnsi="Times New Roman" w:cs="Times New Roman"/>
          <w:color w:val="000000"/>
          <w:sz w:val="24"/>
        </w:rPr>
        <w:pict>
          <v:rect style="width:0;height:1.5pt" o:hralign="center" o:hrstd="t" o:hr="t"/>
        </w:pict>
      </w:r>
    </w:p>
    <w:bookmarkEnd w:id="41"/>
    <w:bookmarkStart w:id="42" w:name="references"/>
    <w:p>
      <w:pPr>
        <w:pStyle w:val="Heading2"/>
        <w:spacing w:line="480" w:lineRule="auto"/>
      </w:pPr>
      <w:r>
        <w:rPr>
          <w:rFonts w:ascii="Times New Roman" w:hAnsi="Times New Roman" w:cs="Times New Roman"/>
          <w:b/>
          <w:color w:val="000000"/>
          <w:sz w:val="24"/>
        </w:rPr>
        <w:t xml:space="preserve">References</w:t>
      </w:r>
    </w:p>
    <w:p>
      <w:pPr>
        <w:pStyle w:val="FirstParagraph"/>
        <w:spacing w:line="480" w:lineRule="auto"/>
      </w:pPr>
      <w:r>
        <w:rPr>
          <w:rFonts w:ascii="Times New Roman" w:hAnsi="Times New Roman" w:cs="Times New Roman"/>
          <w:color w:val="000000"/>
          <w:sz w:val="24"/>
        </w:rPr>
        <w:t xml:space="preserve">Allison RB, Wang X, Ross RJ (2020) Acoustic tomography of standing trees: A review of methodology and field applications. Forest Products Journal 70(3):283-294. https://doi.org/10.13073/FPJ-D-20-00006</w:t>
      </w:r>
    </w:p>
    <w:p>
      <w:pPr>
        <w:pStyle w:val="BodyText"/>
        <w:spacing w:line="480" w:lineRule="auto"/>
      </w:pPr>
      <w:r>
        <w:rPr>
          <w:rFonts w:ascii="Times New Roman" w:hAnsi="Times New Roman" w:cs="Times New Roman"/>
          <w:color w:val="000000"/>
          <w:sz w:val="24"/>
        </w:rPr>
        <w:t xml:space="preserve">Boresi AP, Schmidt RJ (2003) Advanced Mechanics of Materials, 6th edn. John Wiley &amp; Sons, New York</w:t>
      </w:r>
    </w:p>
    <w:p>
      <w:pPr>
        <w:pStyle w:val="BodyText"/>
        <w:spacing w:line="480" w:lineRule="auto"/>
      </w:pPr>
      <w:r>
        <w:rPr>
          <w:rFonts w:ascii="Times New Roman" w:hAnsi="Times New Roman" w:cs="Times New Roman"/>
          <w:color w:val="000000"/>
          <w:sz w:val="24"/>
        </w:rPr>
        <w:t xml:space="preserve">Brazee NJ, Marra RE, Göcke L, Van Wassenaer P (2011) Non-destructive assessment of internal decay in three hardwood species of northeastern North America using sonic and electrical impedance tomography. Forestry 84(1):33-39. https://doi.org/10.1093/forestry/cpq040</w:t>
      </w:r>
    </w:p>
    <w:p>
      <w:pPr>
        <w:pStyle w:val="BodyText"/>
        <w:spacing w:line="480" w:lineRule="auto"/>
      </w:pPr>
      <w:r>
        <w:rPr>
          <w:rFonts w:ascii="Times New Roman" w:hAnsi="Times New Roman" w:cs="Times New Roman"/>
          <w:color w:val="000000"/>
          <w:sz w:val="24"/>
        </w:rPr>
        <w:t xml:space="preserve">Dassault Systèmes (2025) ABAQUS Standard 2026 User’s Manual. Dassault Systèmes Simulia Corp., Providence, RI</w:t>
      </w:r>
    </w:p>
    <w:p>
      <w:pPr>
        <w:pStyle w:val="BodyText"/>
        <w:spacing w:line="480" w:lineRule="auto"/>
      </w:pPr>
      <w:r>
        <w:rPr>
          <w:rFonts w:ascii="Times New Roman" w:hAnsi="Times New Roman" w:cs="Times New Roman"/>
          <w:color w:val="000000"/>
          <w:sz w:val="24"/>
        </w:rPr>
        <w:t xml:space="preserve">Goh CL, Rahim RA, Rahiman MHF, Talib MTM, Tee ZC (2018) Sensing wood decay in standing trees: A review. Sensors and Actuators A: Physical 269:276-282. https://doi.org/10.1016/j.sna.2017.11.038</w:t>
      </w:r>
    </w:p>
    <w:p>
      <w:pPr>
        <w:pStyle w:val="BodyText"/>
        <w:spacing w:line="480" w:lineRule="auto"/>
      </w:pPr>
      <w:r>
        <w:rPr>
          <w:rFonts w:ascii="Times New Roman" w:hAnsi="Times New Roman" w:cs="Times New Roman"/>
          <w:color w:val="000000"/>
          <w:sz w:val="24"/>
        </w:rPr>
        <w:t xml:space="preserve">James KR, Haritos N, Ades PK (2006) Mechanical stability of trees under dynamic loads. American Journal of Botany 93(10):1522-1530. https://doi.org/10.3732/ajb.93.10.1522</w:t>
      </w:r>
    </w:p>
    <w:p>
      <w:pPr>
        <w:pStyle w:val="BodyText"/>
        <w:spacing w:line="480" w:lineRule="auto"/>
      </w:pPr>
      <w:r>
        <w:rPr>
          <w:rFonts w:ascii="Times New Roman" w:hAnsi="Times New Roman" w:cs="Times New Roman"/>
          <w:color w:val="000000"/>
          <w:sz w:val="24"/>
        </w:rPr>
        <w:t xml:space="preserve">Kane B, Ryan HDP (2004) Wound closure and decay in trees following pruning cuts. Journal of Arboriculture 30(6):394-400</w:t>
      </w:r>
    </w:p>
    <w:p>
      <w:pPr>
        <w:pStyle w:val="BodyText"/>
        <w:spacing w:line="480" w:lineRule="auto"/>
      </w:pPr>
      <w:r>
        <w:rPr>
          <w:rFonts w:ascii="Times New Roman" w:hAnsi="Times New Roman" w:cs="Times New Roman"/>
          <w:color w:val="000000"/>
          <w:sz w:val="24"/>
        </w:rPr>
        <w:t xml:space="preserve">Kang J (2026) Fatigue Life Assessment of Urban Street Trees under Wind Loading: Effects of Decay Progression and Soil Conditions. Trees - Structure and Function (in press) [Paper I of present series]</w:t>
      </w:r>
    </w:p>
    <w:p>
      <w:pPr>
        <w:pStyle w:val="BodyText"/>
        <w:spacing w:line="480" w:lineRule="auto"/>
      </w:pPr>
      <w:r>
        <w:rPr>
          <w:rFonts w:ascii="Times New Roman" w:hAnsi="Times New Roman" w:cs="Times New Roman"/>
          <w:color w:val="000000"/>
          <w:sz w:val="24"/>
        </w:rPr>
        <w:t xml:space="preserve">Korea Forest Service (2020) Regulations for Street Tree Establishment and Management. Korea Forest Service Notice No. 2020-25, Daejeon, Republic of Korea</w:t>
      </w:r>
    </w:p>
    <w:p>
      <w:pPr>
        <w:pStyle w:val="BodyText"/>
        <w:spacing w:line="480" w:lineRule="auto"/>
      </w:pPr>
      <w:r>
        <w:rPr>
          <w:rFonts w:ascii="Times New Roman" w:hAnsi="Times New Roman" w:cs="Times New Roman"/>
          <w:color w:val="000000"/>
          <w:sz w:val="24"/>
        </w:rPr>
        <w:t xml:space="preserve">Korea Forest Service (2021) Survey of Urban Street Tree Wind Damage and Management Strategies. Korea Forest Service Research Report No. 21-25, National Institute of Forest Science, Seoul</w:t>
      </w:r>
    </w:p>
    <w:p>
      <w:pPr>
        <w:pStyle w:val="BodyText"/>
        <w:spacing w:line="480" w:lineRule="auto"/>
      </w:pPr>
      <w:r>
        <w:rPr>
          <w:rFonts w:ascii="Times New Roman" w:hAnsi="Times New Roman" w:cs="Times New Roman"/>
          <w:color w:val="000000"/>
          <w:sz w:val="24"/>
        </w:rPr>
        <w:t xml:space="preserve">Lonsdale D (1999) Principles of Tree Hazard Assessment and Management. Research for Amenity Trees No. 7, The Stationery Office, London</w:t>
      </w:r>
    </w:p>
    <w:p>
      <w:pPr>
        <w:pStyle w:val="BodyText"/>
        <w:spacing w:line="480" w:lineRule="auto"/>
      </w:pPr>
      <w:r>
        <w:rPr>
          <w:rFonts w:ascii="Times New Roman" w:hAnsi="Times New Roman" w:cs="Times New Roman"/>
          <w:color w:val="000000"/>
          <w:sz w:val="24"/>
        </w:rPr>
        <w:t xml:space="preserve">Mardia KV, Jupp PE (2000) Directional Statistics. John Wiley &amp; Sons, Chichester</w:t>
      </w:r>
    </w:p>
    <w:p>
      <w:pPr>
        <w:pStyle w:val="BodyText"/>
        <w:spacing w:line="480" w:lineRule="auto"/>
      </w:pPr>
      <w:r>
        <w:rPr>
          <w:rFonts w:ascii="Times New Roman" w:hAnsi="Times New Roman" w:cs="Times New Roman"/>
          <w:color w:val="000000"/>
          <w:sz w:val="24"/>
        </w:rPr>
        <w:t xml:space="preserve">Mattheck C (2007) Updated field guide for visual tree assessment. Karlsruhe Institute of Technology, Karlsruhe</w:t>
      </w:r>
    </w:p>
    <w:p>
      <w:pPr>
        <w:pStyle w:val="BodyText"/>
        <w:spacing w:line="480" w:lineRule="auto"/>
      </w:pPr>
      <w:r>
        <w:rPr>
          <w:rFonts w:ascii="Times New Roman" w:hAnsi="Times New Roman" w:cs="Times New Roman"/>
          <w:color w:val="000000"/>
          <w:sz w:val="24"/>
        </w:rPr>
        <w:t xml:space="preserve">Mattheck C, Bethge K (1998) The structural optimization of trees. Naturwissenschaften 85(1):1-10. https://doi.org/10.1007/s001140050443</w:t>
      </w:r>
    </w:p>
    <w:p>
      <w:pPr>
        <w:pStyle w:val="BodyText"/>
        <w:spacing w:line="480" w:lineRule="auto"/>
      </w:pPr>
      <w:r>
        <w:rPr>
          <w:rFonts w:ascii="Times New Roman" w:hAnsi="Times New Roman" w:cs="Times New Roman"/>
          <w:color w:val="000000"/>
          <w:sz w:val="24"/>
        </w:rPr>
        <w:t xml:space="preserve">Mattheck C, Breloer H (1994) The Body Language of Trees: A Handbook for Failure Analysis. Research for Amenity Trees No. 4, HMSO, London</w:t>
      </w:r>
    </w:p>
    <w:p>
      <w:pPr>
        <w:pStyle w:val="BodyText"/>
        <w:spacing w:line="480" w:lineRule="auto"/>
      </w:pPr>
      <w:r>
        <w:rPr>
          <w:rFonts w:ascii="Times New Roman" w:hAnsi="Times New Roman" w:cs="Times New Roman"/>
          <w:color w:val="000000"/>
          <w:sz w:val="24"/>
        </w:rPr>
        <w:t xml:space="preserve">Miner MA (1945) Cumulative damage in fatigue. Journal of Applied Mechanics 12(3):A159-A164</w:t>
      </w:r>
    </w:p>
    <w:p>
      <w:pPr>
        <w:pStyle w:val="BodyText"/>
        <w:spacing w:line="480" w:lineRule="auto"/>
      </w:pPr>
      <w:r>
        <w:rPr>
          <w:rFonts w:ascii="Times New Roman" w:hAnsi="Times New Roman" w:cs="Times New Roman"/>
          <w:color w:val="000000"/>
          <w:sz w:val="24"/>
        </w:rPr>
        <w:t xml:space="preserve">Ministry of Land, Infrastructure and Transport (2019) Korean Street Tree Selection and Management Guidelines. MOLIT Notice No. 2019-540, Sejong, Republic of Korea</w:t>
      </w:r>
    </w:p>
    <w:p>
      <w:pPr>
        <w:pStyle w:val="BodyText"/>
        <w:spacing w:line="480" w:lineRule="auto"/>
      </w:pPr>
      <w:r>
        <w:rPr>
          <w:rFonts w:ascii="Times New Roman" w:hAnsi="Times New Roman" w:cs="Times New Roman"/>
          <w:color w:val="000000"/>
          <w:sz w:val="24"/>
        </w:rPr>
        <w:t xml:space="preserve">Niklas KJ (1992) Plant Biomechanics: An Engineering Approach to Plant Form and Function. University of Chicago Press, Chicago</w:t>
      </w:r>
    </w:p>
    <w:p>
      <w:pPr>
        <w:pStyle w:val="BodyText"/>
        <w:spacing w:line="480" w:lineRule="auto"/>
      </w:pPr>
      <w:r>
        <w:rPr>
          <w:rFonts w:ascii="Times New Roman" w:hAnsi="Times New Roman" w:cs="Times New Roman"/>
          <w:color w:val="000000"/>
          <w:sz w:val="24"/>
        </w:rPr>
        <w:t xml:space="preserve">Nowak DJ, Greenfield EJ (2018) US urban forest statistics, values, and projections. Journal of Forestry 116(2):164-177. https://doi.org/10.1093/jofore/fvx004</w:t>
      </w:r>
    </w:p>
    <w:p>
      <w:pPr>
        <w:pStyle w:val="BodyText"/>
        <w:spacing w:line="480" w:lineRule="auto"/>
      </w:pPr>
      <w:r>
        <w:rPr>
          <w:rFonts w:ascii="Times New Roman" w:hAnsi="Times New Roman" w:cs="Times New Roman"/>
          <w:color w:val="000000"/>
          <w:sz w:val="24"/>
        </w:rPr>
        <w:t xml:space="preserve">Pellerin RF, Ross RJ (eds) (2002) Nondestructive Evaluation of Wood. Forest Products Society, Madison, WI</w:t>
      </w:r>
    </w:p>
    <w:p>
      <w:pPr>
        <w:pStyle w:val="BodyText"/>
        <w:spacing w:line="480" w:lineRule="auto"/>
      </w:pPr>
      <w:r>
        <w:rPr>
          <w:rFonts w:ascii="Times New Roman" w:hAnsi="Times New Roman" w:cs="Times New Roman"/>
          <w:color w:val="000000"/>
          <w:sz w:val="24"/>
        </w:rPr>
        <w:t xml:space="preserve">Saltelli A, Ratto M, Andres T, Campolongo F, Cariboni J, Gatelli D, Saisana M, Tarantola S (2008) Global Sensitivity Analysis: The Primer. John Wiley &amp; Sons, Chichester. https://doi.org/10.1002/9780470725184</w:t>
      </w:r>
    </w:p>
    <w:p>
      <w:pPr>
        <w:pStyle w:val="BodyText"/>
        <w:spacing w:line="480" w:lineRule="auto"/>
      </w:pPr>
      <w:r>
        <w:rPr>
          <w:rFonts w:ascii="Times New Roman" w:hAnsi="Times New Roman" w:cs="Times New Roman"/>
          <w:color w:val="000000"/>
          <w:sz w:val="24"/>
        </w:rPr>
        <w:t xml:space="preserve">Schwarze FWMR (2007) Wood decay under the microscope. Fungal Biology Reviews 21(4):133-170. https://doi.org/10.1016/j.fbr.2007.09.001</w:t>
      </w:r>
    </w:p>
    <w:p>
      <w:pPr>
        <w:pStyle w:val="BodyText"/>
        <w:spacing w:line="480" w:lineRule="auto"/>
      </w:pPr>
      <w:r>
        <w:rPr>
          <w:rFonts w:ascii="Times New Roman" w:hAnsi="Times New Roman" w:cs="Times New Roman"/>
          <w:color w:val="000000"/>
          <w:sz w:val="24"/>
        </w:rPr>
        <w:t xml:space="preserve">Schwarze FWMR, Engels J (1998) Cavity formation and the exposure of peculiar structures in the secondary xylem (xylem rays and thyloses) to fungal attack. New Phytologist 139(1):145-153. https://doi.org/10.1046/j.1469-8137.1998.00170.x</w:t>
      </w:r>
    </w:p>
    <w:p>
      <w:pPr>
        <w:pStyle w:val="BodyText"/>
        <w:spacing w:line="480" w:lineRule="auto"/>
      </w:pPr>
      <w:r>
        <w:rPr>
          <w:rFonts w:ascii="Times New Roman" w:hAnsi="Times New Roman" w:cs="Times New Roman"/>
          <w:color w:val="000000"/>
          <w:sz w:val="24"/>
        </w:rPr>
        <w:t xml:space="preserve">Sellier D, Fourcaud T (2009) Crown structure and wood properties: Influence on tree sway and response to high winds. American Journal of Botany 96(5):885-896. https://doi.org/10.3732/ajb.0800226</w:t>
      </w:r>
    </w:p>
    <w:p>
      <w:pPr>
        <w:pStyle w:val="BodyText"/>
        <w:spacing w:line="480" w:lineRule="auto"/>
      </w:pPr>
      <w:r>
        <w:rPr>
          <w:rFonts w:ascii="Times New Roman" w:hAnsi="Times New Roman" w:cs="Times New Roman"/>
          <w:color w:val="000000"/>
          <w:sz w:val="24"/>
        </w:rPr>
        <w:t xml:space="preserve">Smiley ET, Matheny N, Lilly S (2017) Tree Risk Assessment Manual, 2nd edn. International Society of Arboriculture, Champaign, IL</w:t>
      </w:r>
    </w:p>
    <w:p>
      <w:pPr>
        <w:pStyle w:val="BodyText"/>
        <w:spacing w:line="480" w:lineRule="auto"/>
      </w:pPr>
      <w:r>
        <w:rPr>
          <w:rFonts w:ascii="Times New Roman" w:hAnsi="Times New Roman" w:cs="Times New Roman"/>
          <w:color w:val="000000"/>
          <w:sz w:val="24"/>
        </w:rPr>
        <w:t xml:space="preserve">Wang X, Allison RB, Wang L, Ross RJ (2007) Acoustic tomography for decay detection in red oak trees. Research Paper FPL-RP-642, U.S. Department of Agriculture Forest Service, Forest Products Laboratory, Madison, WI</w:t>
      </w:r>
    </w:p>
    <w:p>
      <w:pPr>
        <w:pStyle w:val="BodyText"/>
        <w:spacing w:line="480" w:lineRule="auto"/>
      </w:pPr>
      <w:r>
        <w:rPr>
          <w:rFonts w:ascii="Times New Roman" w:hAnsi="Times New Roman" w:cs="Times New Roman"/>
          <w:color w:val="000000"/>
          <w:sz w:val="24"/>
        </w:rPr>
        <w:t xml:space="preserve">Yang C, Abdelrahman M, Khaloian-Sarnaghi A, van de Kuilen JW (2025) Reversed-loading fatigue behaviour of structural-size wood under bending. International Journal of Fatigue 194:108807. https://doi.org/10.1016/j.ijfatigue.2024.108807</w:t>
      </w:r>
    </w:p>
    <w:p>
      <w:pPr>
        <w:spacing w:line="480" w:lineRule="auto"/>
      </w:pPr>
      <w:r>
        <w:rPr>
          <w:rFonts w:ascii="Times New Roman" w:hAnsi="Times New Roman" w:cs="Times New Roman"/>
          <w:color w:val="000000"/>
          <w:sz w:val="24"/>
        </w:rPr>
        <w:pict>
          <v:rect style="width:0;height:1.5pt" o:hralign="center" o:hrstd="t" o:hr="t"/>
        </w:pict>
      </w:r>
    </w:p>
    <w:bookmarkEnd w:id="42"/>
    <w:bookmarkEnd w:id="43"/>
    <w:p>
      <w:pPr>
        <w:spacing w:after="0" w:line="480" w:lineRule="auto"/>
      </w:pPr>
      <w:r>
        <w:rPr>
          <w:rFonts w:ascii="Times New Roman" w:hAnsi="Times New Roman" w:cs="Times New Roman"/>
          <w:color w:val="000000"/>
          <w:sz w:val="24"/>
        </w:rPr>
        <w:br w:type="page"/>
      </w:r>
    </w:p>
    <w:p>
      <w:pPr>
        <w:spacing w:after="360" w:line="480" w:lineRule="auto"/>
        <w:jc w:val="left"/>
      </w:pPr>
      <w:r>
        <w:rPr>
          <w:rFonts w:ascii="Times New Roman" w:hAnsi="Times New Roman" w:cs="Times New Roman"/>
          <w:b/>
          <w:i w:val="0"/>
          <w:color w:val="000000"/>
          <w:sz w:val="24"/>
        </w:rPr>
        <w:t>List of Figures</w:t>
      </w:r>
    </w:p>
    <w:p>
      <w:pPr>
        <w:spacing w:after="120" w:before="120" w:line="480" w:lineRule="auto"/>
        <w:jc w:val="center"/>
      </w:pPr>
      <w:r>
        <w:rPr>
          <w:rFonts w:ascii="Times New Roman" w:hAnsi="Times New Roman" w:cs="Times New Roman"/>
          <w:color w:val="000000"/>
          <w:sz w:val="24"/>
        </w:rPr>
        <w:drawing>
          <wp:inline>
            <wp:extent cx="5400000" cy="4199999"/>
            <wp:docPr id="1" name="Picture 1"/>
            <wp:cNvGraphicFramePr>
              <a:graphicFrameLocks noChangeAspect="1"/>
            </wp:cNvGraphicFramePr>
            <a:graphic>
              <a:graphicData uri="http://schemas.openxmlformats.org/drawingml/2006/picture">
                <pic:pic>
                  <pic:nvPicPr>
                    <pic:cNvPr id="0" name="fig_regression_test.png"/>
                    <pic:cNvPicPr/>
                  </pic:nvPicPr>
                  <pic:blipFill>
                    <a:blip r:embed="rId9"/>
                    <a:stretch>
                      <a:fillRect/>
                    </a:stretch>
                  </pic:blipFill>
                  <pic:spPr>
                    <a:xfrm>
                      <a:off x="0" y="0"/>
                      <a:ext cx="5400000" cy="4199999"/>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1. Four-stage regression test of the eccentric-decay framework against the Mattheck (1994) concentric limit. (a) The closed-form SAF reproduces the analytical formula to machine precision across decay ratios. (b) Polar plot showing direction-invariance of SAF for concentric cavities. (c) Continuity of SAF_worst as eccentricity tends to zero. (d) Closed-form section properties match a 1500x1500 Cartesian grid integration to better than 0.5%.</w:t>
      </w:r>
    </w:p>
    <w:p>
      <w:pPr>
        <w:spacing w:after="120" w:before="120" w:line="480" w:lineRule="auto"/>
        <w:jc w:val="center"/>
      </w:pPr>
      <w:r>
        <w:rPr>
          <w:rFonts w:ascii="Times New Roman" w:hAnsi="Times New Roman" w:cs="Times New Roman"/>
          <w:color w:val="000000"/>
          <w:sz w:val="24"/>
        </w:rPr>
        <w:drawing>
          <wp:inline>
            <wp:extent cx="5400000" cy="3418487"/>
            <wp:docPr id="2" name="Picture 2"/>
            <wp:cNvGraphicFramePr>
              <a:graphicFrameLocks noChangeAspect="1"/>
            </wp:cNvGraphicFramePr>
            <a:graphic>
              <a:graphicData uri="http://schemas.openxmlformats.org/drawingml/2006/picture">
                <pic:pic>
                  <pic:nvPicPr>
                    <pic:cNvPr id="0" name="eccentric_demo.png"/>
                    <pic:cNvPicPr/>
                  </pic:nvPicPr>
                  <pic:blipFill>
                    <a:blip r:embed="rId10"/>
                    <a:stretch>
                      <a:fillRect/>
                    </a:stretch>
                  </pic:blipFill>
                  <pic:spPr>
                    <a:xfrm>
                      <a:off x="0" y="0"/>
                      <a:ext cx="5400000" cy="3418487"/>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2. Single-sample SAF behaviour at r_d/R = 0.5 for three representative cross-sections. (a) Cross-section schematics for concentric, eccentric circular (e_norm = 0.5), and area-equivalent elliptical 2:1 cavities, showing the net-section centroid (X). (b) Polar SAF plot. (c) Worst-case SAF as a function of normalised eccentricity at four decay ratios. (d) SAF as a function of decay ratio for the three cross-section types. (e) Net-section centroid shift opposite to the cavity offset. (f) Worst-direction angle as eccentricity increases.</w:t>
      </w:r>
    </w:p>
    <w:p>
      <w:pPr>
        <w:spacing w:after="120" w:before="120" w:line="480" w:lineRule="auto"/>
        <w:jc w:val="center"/>
      </w:pPr>
      <w:r>
        <w:rPr>
          <w:rFonts w:ascii="Times New Roman" w:hAnsi="Times New Roman" w:cs="Times New Roman"/>
          <w:color w:val="000000"/>
          <w:sz w:val="24"/>
        </w:rPr>
        <w:drawing>
          <wp:inline>
            <wp:extent cx="5400000" cy="1069952"/>
            <wp:docPr id="3" name="Picture 3"/>
            <wp:cNvGraphicFramePr>
              <a:graphicFrameLocks noChangeAspect="1"/>
            </wp:cNvGraphicFramePr>
            <a:graphic>
              <a:graphicData uri="http://schemas.openxmlformats.org/drawingml/2006/picture">
                <pic:pic>
                  <pic:nvPicPr>
                    <pic:cNvPr id="0" name="fig_mc_cdf.png"/>
                    <pic:cNvPicPr/>
                  </pic:nvPicPr>
                  <pic:blipFill>
                    <a:blip r:embed="rId11"/>
                    <a:stretch>
                      <a:fillRect/>
                    </a:stretch>
                  </pic:blipFill>
                  <pic:spPr>
                    <a:xfrm>
                      <a:off x="0" y="0"/>
                      <a:ext cx="5400000" cy="1069952"/>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3. Cumulative distribution functions of the life ratio rho at five decay levels under three wind distributions (lower-bound S-N, n = 10,000 samples). The three wind distributions overlay almost exactly, demonstrating the wind-direction collapse result.</w:t>
      </w:r>
    </w:p>
    <w:p>
      <w:pPr>
        <w:spacing w:after="120" w:before="120" w:line="480" w:lineRule="auto"/>
        <w:jc w:val="center"/>
      </w:pPr>
      <w:r>
        <w:rPr>
          <w:rFonts w:ascii="Times New Roman" w:hAnsi="Times New Roman" w:cs="Times New Roman"/>
          <w:color w:val="000000"/>
          <w:sz w:val="24"/>
        </w:rPr>
        <w:drawing>
          <wp:inline>
            <wp:extent cx="5400000" cy="2202762"/>
            <wp:docPr id="4" name="Picture 4"/>
            <wp:cNvGraphicFramePr>
              <a:graphicFrameLocks noChangeAspect="1"/>
            </wp:cNvGraphicFramePr>
            <a:graphic>
              <a:graphicData uri="http://schemas.openxmlformats.org/drawingml/2006/picture">
                <pic:pic>
                  <pic:nvPicPr>
                    <pic:cNvPr id="0" name="fig_mc_percentile.png"/>
                    <pic:cNvPicPr/>
                  </pic:nvPicPr>
                  <pic:blipFill>
                    <a:blip r:embed="rId12"/>
                    <a:stretch>
                      <a:fillRect/>
                    </a:stretch>
                  </pic:blipFill>
                  <pic:spPr>
                    <a:xfrm>
                      <a:off x="0" y="0"/>
                      <a:ext cx="5400000" cy="2202762"/>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4. Life ratio rho versus decay ratio r_d/R: percentile bands (5-95% and 25-75%) and median for lower-bound and mean S-N curves. Vertical dashed line marks the Mattheck threshold r_d/R = 0.7.</w:t>
      </w:r>
    </w:p>
    <w:p>
      <w:pPr>
        <w:spacing w:after="120" w:before="120" w:line="480" w:lineRule="auto"/>
        <w:jc w:val="center"/>
      </w:pPr>
      <w:r>
        <w:rPr>
          <w:rFonts w:ascii="Times New Roman" w:hAnsi="Times New Roman" w:cs="Times New Roman"/>
          <w:color w:val="000000"/>
          <w:sz w:val="24"/>
        </w:rPr>
        <w:drawing>
          <wp:inline>
            <wp:extent cx="5400000" cy="2214999"/>
            <wp:docPr id="5" name="Picture 5"/>
            <wp:cNvGraphicFramePr>
              <a:graphicFrameLocks noChangeAspect="1"/>
            </wp:cNvGraphicFramePr>
            <a:graphic>
              <a:graphicData uri="http://schemas.openxmlformats.org/drawingml/2006/picture">
                <pic:pic>
                  <pic:nvPicPr>
                    <pic:cNvPr id="0" name="fig_mc_heatmap.png"/>
                    <pic:cNvPicPr/>
                  </pic:nvPicPr>
                  <pic:blipFill>
                    <a:blip r:embed="rId13"/>
                    <a:stretch>
                      <a:fillRect/>
                    </a:stretch>
                  </pic:blipFill>
                  <pic:spPr>
                    <a:xfrm>
                      <a:off x="0" y="0"/>
                      <a:ext cx="5400000" cy="2214999"/>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5. Life-shortening factor 1/rho heatmap by sample percentile and decay ratio. The bottom 5% tail at the Mattheck threshold reaches a 47-fold (lower-bound) or 143-fold (mean) reduction relative to the concentric assumption.</w:t>
      </w:r>
    </w:p>
    <w:p>
      <w:pPr>
        <w:spacing w:after="120" w:before="120" w:line="480" w:lineRule="auto"/>
        <w:jc w:val="center"/>
      </w:pPr>
      <w:r>
        <w:rPr>
          <w:rFonts w:ascii="Times New Roman" w:hAnsi="Times New Roman" w:cs="Times New Roman"/>
          <w:color w:val="000000"/>
          <w:sz w:val="24"/>
        </w:rPr>
        <w:drawing>
          <wp:inline>
            <wp:extent cx="5400000" cy="2197703"/>
            <wp:docPr id="6" name="Picture 6"/>
            <wp:cNvGraphicFramePr>
              <a:graphicFrameLocks noChangeAspect="1"/>
            </wp:cNvGraphicFramePr>
            <a:graphic>
              <a:graphicData uri="http://schemas.openxmlformats.org/drawingml/2006/picture">
                <pic:pic>
                  <pic:nvPicPr>
                    <pic:cNvPr id="0" name="fig_mc_concentric_vs_ecc.png"/>
                    <pic:cNvPicPr/>
                  </pic:nvPicPr>
                  <pic:blipFill>
                    <a:blip r:embed="rId14"/>
                    <a:stretch>
                      <a:fillRect/>
                    </a:stretch>
                  </pic:blipFill>
                  <pic:spPr>
                    <a:xfrm>
                      <a:off x="0" y="0"/>
                      <a:ext cx="5400000" cy="2197703"/>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6. Distribution of the life ratio at the Mattheck threshold r_d/R = 0.7. The eccentric Monte Carlo distribution (blue histogram) shows that the deterministic concentric estimate (black line, rho = 1) lies far above the median (red dashed) and the 5th-percentile (orange dotted) of the population.</w:t>
      </w:r>
    </w:p>
    <w:p>
      <w:pPr>
        <w:spacing w:after="120" w:before="120" w:line="480" w:lineRule="auto"/>
        <w:jc w:val="center"/>
      </w:pPr>
      <w:r>
        <w:rPr>
          <w:rFonts w:ascii="Times New Roman" w:hAnsi="Times New Roman" w:cs="Times New Roman"/>
          <w:color w:val="000000"/>
          <w:sz w:val="24"/>
        </w:rPr>
        <w:drawing>
          <wp:inline>
            <wp:extent cx="5400000" cy="2205145"/>
            <wp:docPr id="7" name="Picture 7"/>
            <wp:cNvGraphicFramePr>
              <a:graphicFrameLocks noChangeAspect="1"/>
            </wp:cNvGraphicFramePr>
            <a:graphic>
              <a:graphicData uri="http://schemas.openxmlformats.org/drawingml/2006/picture">
                <pic:pic>
                  <pic:nvPicPr>
                    <pic:cNvPr id="0" name="fig_absolute_distribution_rd07.png"/>
                    <pic:cNvPicPr/>
                  </pic:nvPicPr>
                  <pic:blipFill>
                    <a:blip r:embed="rId15"/>
                    <a:stretch>
                      <a:fillRect/>
                    </a:stretch>
                  </pic:blipFill>
                  <pic:spPr>
                    <a:xfrm>
                      <a:off x="0" y="0"/>
                      <a:ext cx="5400000" cy="2205145"/>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7. Absolute fatigue life distribution at r_d/R = 0.7 (Seoul wind regime, ginkgo, H = 8 m, DBH = 20 cm) anchored to Paper I Table 2. The concentric estimate (1.7 yr lower-bound, 6.9 yr mean) overpredicts the median (5 months) and the 5th-percentile tail (13 days).</w:t>
      </w:r>
    </w:p>
    <w:p>
      <w:pPr>
        <w:spacing w:after="120" w:before="120" w:line="480" w:lineRule="auto"/>
        <w:jc w:val="center"/>
      </w:pPr>
      <w:r>
        <w:rPr>
          <w:rFonts w:ascii="Times New Roman" w:hAnsi="Times New Roman" w:cs="Times New Roman"/>
          <w:color w:val="000000"/>
          <w:sz w:val="24"/>
        </w:rPr>
        <w:drawing>
          <wp:inline>
            <wp:extent cx="5400000" cy="2198713"/>
            <wp:docPr id="8" name="Picture 8"/>
            <wp:cNvGraphicFramePr>
              <a:graphicFrameLocks noChangeAspect="1"/>
            </wp:cNvGraphicFramePr>
            <a:graphic>
              <a:graphicData uri="http://schemas.openxmlformats.org/drawingml/2006/picture">
                <pic:pic>
                  <pic:nvPicPr>
                    <pic:cNvPr id="0" name="fig_absolute_percentile.png"/>
                    <pic:cNvPicPr/>
                  </pic:nvPicPr>
                  <pic:blipFill>
                    <a:blip r:embed="rId16"/>
                    <a:stretch>
                      <a:fillRect/>
                    </a:stretch>
                  </pic:blipFill>
                  <pic:spPr>
                    <a:xfrm>
                      <a:off x="0" y="0"/>
                      <a:ext cx="5400000" cy="2198713"/>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8. Percentile bands of absolute fatigue life as a function of decay ratio. Horizontal dotted lines mark inspection-cycle thresholds at 5 and 30 yr.</w:t>
      </w:r>
    </w:p>
    <w:p>
      <w:pPr>
        <w:spacing w:after="120" w:before="120" w:line="480" w:lineRule="auto"/>
        <w:jc w:val="center"/>
      </w:pPr>
      <w:r>
        <w:rPr>
          <w:rFonts w:ascii="Times New Roman" w:hAnsi="Times New Roman" w:cs="Times New Roman"/>
          <w:color w:val="000000"/>
          <w:sz w:val="24"/>
        </w:rPr>
        <w:drawing>
          <wp:inline>
            <wp:extent cx="5400000" cy="3336000"/>
            <wp:docPr id="9" name="Picture 9"/>
            <wp:cNvGraphicFramePr>
              <a:graphicFrameLocks noChangeAspect="1"/>
            </wp:cNvGraphicFramePr>
            <a:graphic>
              <a:graphicData uri="http://schemas.openxmlformats.org/drawingml/2006/picture">
                <pic:pic>
                  <pic:nvPicPr>
                    <pic:cNvPr id="0" name="fig_inspection_threshold.png"/>
                    <pic:cNvPicPr/>
                  </pic:nvPicPr>
                  <pic:blipFill>
                    <a:blip r:embed="rId17"/>
                    <a:stretch>
                      <a:fillRect/>
                    </a:stretch>
                  </pic:blipFill>
                  <pic:spPr>
                    <a:xfrm>
                      <a:off x="0" y="0"/>
                      <a:ext cx="5400000" cy="3336000"/>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9. Fraction of trees with absolute fatigue life below several inspection-cycle thresholds (1, 5, 10, 30, 100 yr) as a function of decay ratio. Solid lines: lower-bound S-N. Dashed: mean S-N.</w:t>
      </w:r>
    </w:p>
    <w:p>
      <w:pPr>
        <w:spacing w:after="120" w:before="120" w:line="480" w:lineRule="auto"/>
        <w:jc w:val="center"/>
      </w:pPr>
      <w:r>
        <w:rPr>
          <w:rFonts w:ascii="Times New Roman" w:hAnsi="Times New Roman" w:cs="Times New Roman"/>
          <w:color w:val="000000"/>
          <w:sz w:val="24"/>
        </w:rPr>
        <w:drawing>
          <wp:inline>
            <wp:extent cx="5400000" cy="2197703"/>
            <wp:docPr id="10" name="Picture 10"/>
            <wp:cNvGraphicFramePr>
              <a:graphicFrameLocks noChangeAspect="1"/>
            </wp:cNvGraphicFramePr>
            <a:graphic>
              <a:graphicData uri="http://schemas.openxmlformats.org/drawingml/2006/picture">
                <pic:pic>
                  <pic:nvPicPr>
                    <pic:cNvPr id="0" name="fig_sens_prior.png"/>
                    <pic:cNvPicPr/>
                  </pic:nvPicPr>
                  <pic:blipFill>
                    <a:blip r:embed="rId18"/>
                    <a:stretch>
                      <a:fillRect/>
                    </a:stretch>
                  </pic:blipFill>
                  <pic:spPr>
                    <a:xfrm>
                      <a:off x="0" y="0"/>
                      <a:ext cx="5400000" cy="2197703"/>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10a. Sensitivity to the Beta prior on normalised eccentricity. Four prior shapes (Beta(1,1) uniform, Beta(2,2) baseline, Beta(2,5) low-eccentricity skew, Beta(5,2) high-eccentricity skew) at r_d/R = 0.5 and 0.7.</w:t>
      </w:r>
    </w:p>
    <w:p>
      <w:pPr>
        <w:spacing w:after="120" w:before="120" w:line="480" w:lineRule="auto"/>
        <w:jc w:val="center"/>
      </w:pPr>
      <w:r>
        <w:rPr>
          <w:rFonts w:ascii="Times New Roman" w:hAnsi="Times New Roman" w:cs="Times New Roman"/>
          <w:color w:val="000000"/>
          <w:sz w:val="24"/>
        </w:rPr>
        <w:drawing>
          <wp:inline>
            <wp:extent cx="5400000" cy="2197703"/>
            <wp:docPr id="11" name="Picture 11"/>
            <wp:cNvGraphicFramePr>
              <a:graphicFrameLocks noChangeAspect="1"/>
            </wp:cNvGraphicFramePr>
            <a:graphic>
              <a:graphicData uri="http://schemas.openxmlformats.org/drawingml/2006/picture">
                <pic:pic>
                  <pic:nvPicPr>
                    <pic:cNvPr id="0" name="fig_sens_aspect.png"/>
                    <pic:cNvPicPr/>
                  </pic:nvPicPr>
                  <pic:blipFill>
                    <a:blip r:embed="rId19"/>
                    <a:stretch>
                      <a:fillRect/>
                    </a:stretch>
                  </pic:blipFill>
                  <pic:spPr>
                    <a:xfrm>
                      <a:off x="0" y="0"/>
                      <a:ext cx="5400000" cy="2197703"/>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10b. Sensitivity to cavity aspect ratio (area-equivalent). Circular and elliptical 1:2 / 1:3 cavities at r_d/R = 0.5 and 0.7.</w:t>
      </w:r>
    </w:p>
    <w:p>
      <w:pPr>
        <w:spacing w:after="120" w:before="120" w:line="480" w:lineRule="auto"/>
        <w:jc w:val="center"/>
      </w:pPr>
      <w:r>
        <w:rPr>
          <w:rFonts w:ascii="Times New Roman" w:hAnsi="Times New Roman" w:cs="Times New Roman"/>
          <w:color w:val="000000"/>
          <w:sz w:val="24"/>
        </w:rPr>
        <w:drawing>
          <wp:inline>
            <wp:extent cx="5400000" cy="2215639"/>
            <wp:docPr id="12" name="Picture 12"/>
            <wp:cNvGraphicFramePr>
              <a:graphicFrameLocks noChangeAspect="1"/>
            </wp:cNvGraphicFramePr>
            <a:graphic>
              <a:graphicData uri="http://schemas.openxmlformats.org/drawingml/2006/picture">
                <pic:pic>
                  <pic:nvPicPr>
                    <pic:cNvPr id="0" name="fig_sens_variance.png"/>
                    <pic:cNvPicPr/>
                  </pic:nvPicPr>
                  <pic:blipFill>
                    <a:blip r:embed="rId20"/>
                    <a:stretch>
                      <a:fillRect/>
                    </a:stretch>
                  </pic:blipFill>
                  <pic:spPr>
                    <a:xfrm>
                      <a:off x="0" y="0"/>
                      <a:ext cx="5400000" cy="2215639"/>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10c. First-order Sobol-style variance decomposition of the life ratio. For circular cavities, eccentricity alone explains 99.6% of the variance; for elliptical cavities, eccentricity (71%) plus aspect ratio (8%) dominate over orientation variables.</w:t>
      </w:r>
    </w:p>
    <w:p>
      <w:pPr>
        <w:spacing w:after="120" w:before="120" w:line="480" w:lineRule="auto"/>
        <w:jc w:val="center"/>
      </w:pPr>
      <w:r>
        <w:rPr>
          <w:rFonts w:ascii="Times New Roman" w:hAnsi="Times New Roman" w:cs="Times New Roman"/>
          <w:color w:val="000000"/>
          <w:sz w:val="24"/>
        </w:rPr>
        <w:drawing>
          <wp:inline>
            <wp:extent cx="5400000" cy="2042159"/>
            <wp:docPr id="13" name="Picture 13"/>
            <wp:cNvGraphicFramePr>
              <a:graphicFrameLocks noChangeAspect="1"/>
            </wp:cNvGraphicFramePr>
            <a:graphic>
              <a:graphicData uri="http://schemas.openxmlformats.org/drawingml/2006/picture">
                <pic:pic>
                  <pic:nvPicPr>
                    <pic:cNvPr id="0" name="fig_policy_matrix.png"/>
                    <pic:cNvPicPr/>
                  </pic:nvPicPr>
                  <pic:blipFill>
                    <a:blip r:embed="rId21"/>
                    <a:stretch>
                      <a:fillRect/>
                    </a:stretch>
                  </pic:blipFill>
                  <pic:spPr>
                    <a:xfrm>
                      <a:off x="0" y="0"/>
                      <a:ext cx="5400000" cy="2042159"/>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11. Risk-based inspection policy matrix (lower-bound S-N, ginkgo). Left: recommended inspection interval Delta_t = T_p5 / 2 [yr]. Right: categorical risk classification (BI-ANNUAL through REMOVE).</w:t>
      </w:r>
    </w:p>
    <w:p>
      <w:pPr>
        <w:spacing w:after="120" w:before="120" w:line="480" w:lineRule="auto"/>
        <w:jc w:val="center"/>
      </w:pPr>
      <w:r>
        <w:rPr>
          <w:rFonts w:ascii="Times New Roman" w:hAnsi="Times New Roman" w:cs="Times New Roman"/>
          <w:color w:val="000000"/>
          <w:sz w:val="24"/>
        </w:rPr>
        <w:drawing>
          <wp:inline>
            <wp:extent cx="5400000" cy="2417399"/>
            <wp:docPr id="14" name="Picture 14"/>
            <wp:cNvGraphicFramePr>
              <a:graphicFrameLocks noChangeAspect="1"/>
            </wp:cNvGraphicFramePr>
            <a:graphic>
              <a:graphicData uri="http://schemas.openxmlformats.org/drawingml/2006/picture">
                <pic:pic>
                  <pic:nvPicPr>
                    <pic:cNvPr id="0" name="fig_abaqus_validation.png"/>
                    <pic:cNvPicPr/>
                  </pic:nvPicPr>
                  <pic:blipFill>
                    <a:blip r:embed="rId22"/>
                    <a:stretch>
                      <a:fillRect/>
                    </a:stretch>
                  </pic:blipFill>
                  <pic:spPr>
                    <a:xfrm>
                      <a:off x="0" y="0"/>
                      <a:ext cx="5400000" cy="2417399"/>
                    </a:xfrm>
                    <a:prstGeom prst="rect"/>
                  </pic:spPr>
                </pic:pic>
              </a:graphicData>
            </a:graphic>
          </wp:inline>
        </w:drawing>
      </w:r>
    </w:p>
    <w:p>
      <w:pPr>
        <w:spacing w:after="400" w:line="480" w:lineRule="auto"/>
        <w:jc w:val="left"/>
      </w:pPr>
      <w:r>
        <w:rPr>
          <w:rFonts w:ascii="Times New Roman" w:hAnsi="Times New Roman" w:cs="Times New Roman"/>
          <w:b w:val="0"/>
          <w:i w:val="0"/>
          <w:color w:val="000000"/>
          <w:sz w:val="24"/>
        </w:rPr>
        <w:t>Figure A1. Independent ABAQUS validation of the closed-form section properties. (a) Per-quantity relative error for six cases (r_d/R = 0.5, 0.7 and e_norm = 0.0, 0.5, 0.95). (b) Parity plot of all 36 quantities (6 cases x 6 properties). Maximum relative error: 7.96e-04.</w:t>
      </w:r>
    </w:p>
    <w:sectPr>
      <w:footnotePr>
        <w:numRestart w:val="eachSect"/>
      </w:footnotePr>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2026-05-09T01:56:16Z</dcterms:created>
  <dcterms:modified xsi:type="dcterms:W3CDTF">2026-05-09T01:56:16Z</dcterms:modified>
</cp:coreProperties>
</file>

<file path=docProps/custom.xml><?xml version="1.0" encoding="utf-8"?>
<Properties xmlns="http://schemas.openxmlformats.org/officeDocument/2006/custom-properties" xmlns:vt="http://schemas.openxmlformats.org/officeDocument/2006/docPropsVTypes"/>
</file>