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0.4.0 (.net), jvm: null. os: Windows Vista,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p14="http://schemas.microsoft.com/office/word/2010/wordml" xmlns:wpg="http://schemas.microsoft.com/office/word/2010/wordprocessingGroup" xmlns:wpi="http://schemas.microsoft.com/office/word/2010/wordprocessingInk" xmlns:wps="http://schemas.microsoft.com/office/word/2010/wordprocessingShape">
  <w:body>
    <w:p>
      <w:pPr>
        <w:pStyle w:val="Heading1"/>
        <w:rPr/>
      </w:pPr>
      <w:r>
        <w:rPr/>
        <w:t xml:space="preserve">Filter using ${vars} in the select</w:t>
      </w:r>
    </w:p>
    <w:p>
      <w:pPr>
        <w:rPr/>
      </w:pPr>
      <w:r>
        <w:rPr/>
        <w:t xml:space="preserve">This template is described as used by the code samples FilterVariablesXML.cs and FilterVariablesXML.java.</w:t>
      </w:r>
    </w:p>
    <w:p>
      <w:pPr>
        <w:rPr/>
      </w:pPr>
      <w:r>
        <w:rPr/>
        <w:t xml:space="preserve">These first 4 tables each use a ${var} in the condition of the select. If you were not using filters you would call DataSourceProvider.Map/setMap() passing a hashtable where the key of each entry is the below 3 var names and the value would be an int, string, &amp; int.</w:t>
      </w:r>
    </w:p>
    <w:p>
      <w:pPr>
        <w:rPr/>
      </w:pPr>
      <w:r>
        <w:rPr/>
        <w:t xml:space="preserve">There is no date example because XPath views a date as a string. (You can only do inequalities in XPath with numbers.)</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r>
        <w:trPr>
          <w:trHeight w:val="360" w:hRule="exact"/>
        </w:trPr>
        <w:tc>
          <w:tcPr>
            <w:tcW w:w="1199" w:type="pct"/>
          </w:tcPr>
          <w:p>
            <w:pPr>
              <w:rPr/>
            </w:pPr>
            <w:r>
              <w:rPr/>
              <w:t xml:space="preserve">2</w:t>
            </w:r>
          </w:p>
        </w:tc>
        <w:tc>
          <w:tcPr>
            <w:tcW w:w="917" w:type="pct"/>
          </w:tcPr>
          <w:p>
            <w:pPr>
              <w:rPr/>
            </w:pPr>
            <w:r>
              <w:rPr/>
              <w:t xml:space="preserve">Fuller</w:t>
            </w:r>
          </w:p>
        </w:tc>
        <w:tc>
          <w:tcPr>
            <w:tcW w:w="1152" w:type="pct"/>
          </w:tcPr>
          <w:p>
            <w:pPr>
              <w:rPr/>
            </w:pPr>
            <w:r>
              <w:rPr/>
              <w:t xml:space="preserve">Andrew</w:t>
            </w:r>
          </w:p>
        </w:tc>
        <w:tc>
          <w:tcPr>
            <w:tcW w:w="1732" w:type="pct"/>
            <w:tcBorders>
              <w:right w:val="single" w:sz="4" w:color="auto"/>
            </w:tcBorders>
          </w:tcPr>
          <w:p>
            <w:pPr>
              <w:rPr/>
            </w:pPr>
            <w:r>
              <w:rPr/>
              <w:t xml:space="preserve">2/19/1952</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r>
        <w:trPr>
          <w:trHeight w:val="360" w:hRule="exact"/>
        </w:trPr>
        <w:tc>
          <w:tcPr>
            <w:tcW w:w="1199" w:type="pct"/>
          </w:tcPr>
          <w:p>
            <w:pPr>
              <w:rPr/>
            </w:pPr>
            <w:r>
              <w:rPr/>
              <w:t xml:space="preserve">5</w:t>
            </w:r>
          </w:p>
        </w:tc>
        <w:tc>
          <w:tcPr>
            <w:tcW w:w="917" w:type="pct"/>
          </w:tcPr>
          <w:p>
            <w:pPr>
              <w:rPr/>
            </w:pPr>
            <w:r>
              <w:rPr/>
              <w:t xml:space="preserve">Buchanan</w:t>
            </w:r>
          </w:p>
        </w:tc>
        <w:tc>
          <w:tcPr>
            <w:tcW w:w="1152" w:type="pct"/>
          </w:tcPr>
          <w:p>
            <w:pPr>
              <w:rPr/>
            </w:pPr>
            <w:r>
              <w:rPr/>
              <w:t xml:space="preserve">Steven</w:t>
            </w:r>
          </w:p>
        </w:tc>
        <w:tc>
          <w:tcPr>
            <w:tcW w:w="1732" w:type="pct"/>
            <w:tcBorders>
              <w:right w:val="single" w:sz="4" w:color="auto"/>
            </w:tcBorders>
          </w:tcPr>
          <w:p>
            <w:pPr>
              <w:rPr/>
            </w:pPr>
            <w:r>
              <w:rPr/>
              <w:t xml:space="preserve">3/4/1955</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node other than Employee here because, if we used a global ad-hoc variable in Employee it would be applied to all the above tables also.</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862"/>
        <w:gridCol w:w="3692"/>
        <w:gridCol w:w="1806"/>
      </w:tblGrid>
      <w:tr>
        <w:tblPrEx>
          <w:tblW w:w="5000" w:type="pct"/>
          <w:tblCellMar>
            <w:top w:w="0" w:type="dxa"/>
            <w:bottom w:w="0" w:type="dxa"/>
          </w:tblCellMar>
        </w:tblPrEx>
        <w:trPr>
          <w:trHeight w:val="360" w:hRule="exact"/>
        </w:trPr>
        <w:tc>
          <w:tcPr>
            <w:tcW w:w="0" w:type="auto"/>
            <w:shd w:val="clear" w:color="auto" w:fill="00b0f0"/>
          </w:tcPr>
          <w:p>
            <w:pPr>
              <w:rPr/>
            </w:pPr>
            <w:r>
              <w:rPr/>
              <w:t xml:space="preserve">TerritoryID</w:t>
            </w:r>
          </w:p>
        </w:tc>
        <w:tc>
          <w:tcPr>
            <w:tcW w:w="0" w:type="auto"/>
            <w:shd w:val="clear" w:color="auto" w:fill="00b0f0"/>
          </w:tcPr>
          <w:p>
            <w:pPr>
              <w:rPr/>
            </w:pPr>
            <w:r>
              <w:rPr/>
              <w:t xml:space="preserve">TerritoryDescription</w:t>
            </w:r>
          </w:p>
        </w:tc>
        <w:tc>
          <w:tcPr>
            <w:tcW w:w="0" w:type="auto"/>
            <w:shd w:val="clear" w:color="auto" w:fill="00b0f0"/>
          </w:tcPr>
          <w:p>
            <w:pPr>
              <w:rPr/>
            </w:pPr>
            <w:r>
              <w:rPr/>
              <w:t xml:space="preserve">RegionID</w:t>
            </w:r>
          </w:p>
        </w:tc>
      </w:tr>
      <w:tr>
        <w:tblPrEx>
          <w:tblW w:w="5000" w:type="pct"/>
          <w:tblCellMar>
            <w:top w:w="0" w:type="dxa"/>
            <w:bottom w:w="0" w:type="dxa"/>
          </w:tblCellMar>
        </w:tblPrEx>
        <w:trPr>
          <w:trHeight w:val="360" w:hRule="exact"/>
        </w:trPr>
        <w:tc>
          <w:tcPr>
            <w:tcW w:w="0" w:type="auto"/>
          </w:tcPr>
          <w:p>
            <w:pPr>
              <w:rPr/>
            </w:pPr>
            <w:r>
              <w:rPr/>
              <w:t xml:space="preserve">2139</w:t>
            </w:r>
          </w:p>
        </w:tc>
        <w:tc>
          <w:tcPr>
            <w:tcW w:w="0" w:type="auto"/>
          </w:tcPr>
          <w:p>
            <w:pPr>
              <w:rPr/>
            </w:pPr>
            <w:r>
              <w:rPr/>
              <w:t xml:space="preserve">Cambridge</w:t>
            </w:r>
          </w:p>
        </w:tc>
        <w:tc>
          <w:tcPr>
            <w:tcW w:w="0" w:type="auto"/>
          </w:tcPr>
          <w:p>
            <w:pPr>
              <w:rPr/>
            </w:pPr>
            <w:r>
              <w:rPr/>
              <w:t xml:space="preserve">1</w:t>
            </w:r>
          </w:p>
        </w:tc>
      </w:tr>
      <w:tr>
        <w:tblPrEx>
          <w:tblW w:w="5000" w:type="pct"/>
          <w:tblCellMar>
            <w:top w:w="0" w:type="dxa"/>
            <w:bottom w:w="0" w:type="dxa"/>
          </w:tblCellMar>
        </w:tblPrEx>
        <w:trPr>
          <w:trHeight w:val="360" w:hRule="exact"/>
        </w:trPr>
        <w:tc>
          <w:tcPr>
            <w:tcW w:w="0" w:type="auto"/>
          </w:tcPr>
          <w:p>
            <w:pPr>
              <w:rPr/>
            </w:pPr>
            <w:r>
              <w:rPr/>
              <w:t xml:space="preserve">2184</w:t>
            </w:r>
          </w:p>
        </w:tc>
        <w:tc>
          <w:tcPr>
            <w:tcW w:w="0" w:type="auto"/>
          </w:tcPr>
          <w:p>
            <w:pPr>
              <w:rPr/>
            </w:pPr>
            <w:r>
              <w:rPr/>
              <w:t xml:space="preserve">Braintree</w:t>
            </w:r>
          </w:p>
        </w:tc>
        <w:tc>
          <w:tcPr>
            <w:tcW w:w="0" w:type="auto"/>
          </w:tcPr>
          <w:p>
            <w:pPr>
              <w:rPr/>
            </w:pPr>
            <w:r>
              <w:rPr/>
              <w:t xml:space="preserve">1</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bg1="light1" w:t2="dark2" w:bg2="light2" w:t1="dark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themeShade="BF"/>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themeShade="BF"/>
      <w:sz w:val="28"/>
      <w:szCs w:val="28"/>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
  <Relationship Id="rId2" Type="http://schemas.openxmlformats.org/officeDocument/2006/relationships/fontTable" Target="fontTable.xml" />
  <Relationship Id="rId3" Type="http://schemas.openxmlformats.org/officeDocument/2006/relationships/styles" Target="styles.xml" />
  <Relationship Id="rId4" Type="http://schemas.openxmlformats.org/officeDocument/2006/relationships/theme" Target="theme/theme1.xml" />
  <Relationship Id="rId5" Type="http://schemas.openxmlformats.org/officeDocument/2006/relationships/header" Target="header1.xml" />
  <Relationship Id="rId6" Type="http://schemas.openxmlformats.org/officeDocument/2006/relationships/header" Target="header2.xml" />
  <Relationship Id="rId7" Type="http://schemas.openxmlformats.org/officeDocument/2006/relationships/header" Target="header3.xml" />
  <Relationship Id="rId8" Type="http://schemas.openxmlformats.org/officeDocument/2006/relationships/footer" Target="footer4.xml" />
  <Relationship Id="rId9" Type="http://schemas.openxmlformats.org/officeDocument/2006/relationships/footer" Target="footer5.xml" />
  <Relationship Id="rId10" Type="http://schemas.openxmlformats.org/officeDocument/2006/relationships/footer" Target="footer6.xml" />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 Inc.</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2011-11-26T23:39:00Z</dcterms:created>
  <dcterms:modified xsi:type="dcterms:W3CDTF">2011-11-26T23:39:00Z</dcterms:modified>
</cp:coreProperties>
</file>