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黑体" w:cs="黑体" w:eastAsia="黑体" w:hAnsi="黑体"/>
          <w:b/>
          <w:bCs/>
          <w:sz w:val="32"/>
          <w:szCs w:val="32"/>
        </w:rPr>
        <w:t xml:space="preserve">关于企业农民工用工情况的调研提纲</w:t>
      </w:r>
    </w:p>
    <w:p>
      <w:pPr>
        <w:pStyle w:val="Heading1"/>
      </w:pPr>
      <w:r>
        <w:t xml:space="preserve">一、基本情况</w:t>
      </w:r>
    </w:p>
    <w:p>
      <w:pPr>
        <w:pStyle w:val="Heading2"/>
      </w:pPr>
      <w:r>
        <w:t xml:space="preserve">（一）企业生产经营情况</w:t>
      </w:r>
    </w:p>
    <w:p>
      <w:pPr>
        <w:spacing w:after="200"/>
      </w:pPr>
      <w:r>
        <w:t xml:space="preserve">现代农业智汇大厦项目经营业务是建筑施工，所属行业是建筑业，所在地区城镇。截至填报日，现代农业智汇大厦项目开工率90%-100%，较2025年同期基本不变。今年以来新签订单量基本不变。</w:t>
      </w:r>
    </w:p>
    <w:p>
      <w:pPr>
        <w:pStyle w:val="Heading2"/>
      </w:pPr>
      <w:r>
        <w:t xml:space="preserve">（二）农民工用工情况</w:t>
      </w:r>
    </w:p>
    <w:p>
      <w:pPr>
        <w:spacing w:after="100"/>
      </w:pPr>
      <w:r>
        <w:rPr>
          <w:b/>
          <w:bCs/>
        </w:rPr>
        <w:t xml:space="preserve">数量情况：</w:t>
      </w:r>
    </w:p>
    <w:p>
      <w:pPr>
        <w:spacing w:after="100"/>
      </w:pPr>
      <w:r>
        <w:t xml:space="preserve">目前，现代农业智汇大厦项目现有员工人数稳定（包括正式员工和外包），较2025年同期基本不变。其中农民工人数占总员工比例5%以内，主要集中在一线生产岗。"新生代"与"老一代"农民工的比例构成为新生代占比40%-50%（含）（两者相当或老一代略多）。不存在缺口。</w:t>
      </w:r>
    </w:p>
    <w:p>
      <w:pPr>
        <w:spacing w:after="100"/>
      </w:pPr>
      <w:r>
        <w:rPr>
          <w:b/>
          <w:bCs/>
        </w:rPr>
        <w:t xml:space="preserve">用工模式：</w:t>
      </w:r>
    </w:p>
    <w:p>
      <w:pPr>
        <w:spacing w:after="100"/>
      </w:pPr>
      <w:r>
        <w:t xml:space="preserve">主要采取劳务外包用工模式。</w:t>
      </w:r>
    </w:p>
    <w:p>
      <w:pPr>
        <w:spacing w:after="100"/>
      </w:pPr>
      <w:r>
        <w:rPr>
          <w:b/>
          <w:bCs/>
        </w:rPr>
        <w:t xml:space="preserve">待遇情况：</w:t>
      </w:r>
    </w:p>
    <w:p>
      <w:pPr>
        <w:spacing w:after="200"/>
      </w:pPr>
      <w:r>
        <w:t xml:space="preserve">目前农民工工资同比基本不变。</w:t>
      </w:r>
    </w:p>
    <w:p>
      <w:pPr>
        <w:pStyle w:val="Heading2"/>
      </w:pPr>
      <w:r>
        <w:t xml:space="preserve">（三）预期用工情况</w:t>
      </w:r>
    </w:p>
    <w:p>
      <w:pPr>
        <w:spacing w:after="300"/>
      </w:pPr>
      <w:r>
        <w:t xml:space="preserve">预计2026年上半年、全年营业收入同比增长10%以内（含）、增长10%以内（含）。主要原因是市场环境基本稳定。预计上半年、全年农民工用工需求基本不变、基本不变。</w:t>
      </w:r>
    </w:p>
    <w:p>
      <w:pPr>
        <w:pStyle w:val="Heading1"/>
      </w:pPr>
      <w:r>
        <w:t xml:space="preserve">二、值得关注的问题（请至少提供一个案例）</w:t>
      </w:r>
    </w:p>
    <w:p>
      <w:pPr>
        <w:pStyle w:val="Heading2"/>
      </w:pPr>
      <w:r>
        <w:t xml:space="preserve">（一）农民工返乡就业创业意愿有所增强，但乡镇就业容量与渠道仍有待拓展</w:t>
      </w:r>
    </w:p>
    <w:p>
      <w:pPr>
        <w:spacing w:after="200"/>
      </w:pPr>
      <w:r>
        <w:t xml:space="preserve">调研发现，受宏观经济形势不确定、大城市生活成本上升以及家庭照护需求等因素影响，越来越多农民工将返乡就业作为重要选项。然而，乡镇企业和欠发达地区产业基础薄弱、产业链条短、规模以上企业数量有限，难以提供足够的、有吸引力的就业岗位。一方面，现有乡镇企业多以资源初加工、来料加工或小型商贸为主，用工需求零散，且普遍存在「小、散、弱」特点，吸纳就业能力不足；另一方面，由于乡镇在物流、网络等基础设施配套上的先天不足，发展农村电商、现代休闲农业、乡村文旅等新业态的条件有限，就业渠道过于单一、现有岗位质量不高，导致部分农民工在返乡与外出之间反复摇摆，难以实现稳定就业。</w:t>
      </w:r>
    </w:p>
    <w:p>
      <w:pPr>
        <w:pStyle w:val="Heading2"/>
      </w:pPr>
      <w:r>
        <w:t xml:space="preserve">（二）制造业与服务业协同发展放大「技能鸿沟」，工人面临技能适配与提升困境</w:t>
      </w:r>
    </w:p>
    <w:p>
      <w:pPr>
        <w:spacing w:after="200"/>
      </w:pPr>
      <w:r>
        <w:t xml:space="preserve">2月发布的《广东省制造业与服务业协同发展白皮书》勾勒「两业融合」新路径。随着制造业智能化改造加速、生产性服务业专业化水平提升，企业对农民工的用工需求正经历结构性调整，智能制造、生产性服务业人才缺口大，但低技能岗位收缩、转型无门。一方面，传统低端岗位大幅缩减，数字化、复合型技能成为新门槛。现代农业智汇大厦项目反映应聘的农民工大多没有接受过正规的职业技能培训，缺乏相关系统化操作技术，在劳动市场上也较少拥有相关职业资格证书或技术的农民工。另一方面，受制于农民工高流动性的特点，企业承担岗前、在岗培训的经济与时间成本高，制约了企业投入资金进行深度的专业技能培养的意愿，导致现有工人技能与企业技术升级、自动化改造需求不匹配，只能继续从事一线重体力或重复性机械劳动。</w:t>
      </w:r>
    </w:p>
    <w:p>
      <w:pPr>
        <w:pStyle w:val="Heading2"/>
      </w:pPr>
      <w:r>
        <w:t xml:space="preserve">（三）农民工权益保障重视程度不足，企业面临合规风险与短期雇佣困境</w:t>
      </w:r>
    </w:p>
    <w:p>
      <w:pPr>
        <w:spacing w:after="200"/>
      </w:pPr>
      <w:r>
        <w:t xml:space="preserve">一方面，农民工为追求极度灵活与短期现金收益，导致不签合同、不愿参保现象普遍。例如有企业表示，工地上大多是包工头招人来干项目，很多是熟人、亲戚，觉得没必要签，有时在这里干几天就得去找别的活干，签合同反而受约束。同时，相当比例的农民工主动要求企业不交社保以换取更更多的现金收入。企业若顺应工人要求不签合同、不缴社保，将面临合规风险；若强制缴纳社保、签合同，则会导致工人流失，两难抉择难以破局。另一方面，权益保障不充分削弱农民工归属感，企业难以建立长期雇佣预期。部分农民工在工伤保险、医疗保险，尤其是养老保险的参保和接续方面仍存在障碍，随迁子女教育等方面的保障不足，无法在工作地获得教育资源，也一定程度上影响农民工就业稳定性。大部分工人选择离职返乡，或选择一个更宜居的城市工作。</w:t>
      </w:r>
    </w:p>
    <w:p>
      <w:pPr>
        <w:pStyle w:val="Heading2"/>
      </w:pPr>
      <w:r>
        <w:t xml:space="preserve">（四）农民工队伍老龄化趋势加剧，企业面临用工结构与安全保障双重压力</w:t>
      </w:r>
    </w:p>
    <w:p>
      <w:pPr>
        <w:spacing w:after="300"/>
      </w:pPr>
      <w:r>
        <w:t xml:space="preserve">随着第一代农民工逐渐步入高龄阶段，我国农民工群体老龄化趋势日益凸显。一方面，由于重体力劳动对身体的长期透支，高龄农民工在工作岗位上发生机械伤害、跌倒乃至突发心脑血管疾病的概率显著增加，企业面临工伤风险上升、商业保险难覆盖等问题。调查显示，现代农业智汇大厦项目负责人表示，目前厂区一线普工的平均年龄适中，由于部分工人超龄无法缴纳常规工伤保险，企业不得不每年额外掏出数万元购买商业意外险。另一方面，受高危行业「清退令」及安全生产规范限制，大批高龄熟练工被迫退出一线，而新生代农民工对枯燥、高强度、无保障的岗位接受度较低，导致企业一线岗位「青黄不接」，面临无人可用的局面。调查显示，现代农业智汇大厦项目负责人表示，即便开出较高的日薪，也难以招聘到愿意干活的年轻人。</w:t>
      </w:r>
    </w:p>
    <w:p>
      <w:pPr>
        <w:pStyle w:val="Heading1"/>
      </w:pPr>
      <w:r>
        <w:t xml:space="preserve">三、建议（请至少提供一个案例）</w:t>
      </w:r>
    </w:p>
    <w:p>
      <w:pPr>
        <w:pStyle w:val="Heading2"/>
      </w:pPr>
      <w:r>
        <w:t xml:space="preserve">（一）发展县域经济与新业态，拓宽返乡就业渠道</w:t>
      </w:r>
    </w:p>
    <w:p>
      <w:pPr>
        <w:pStyle w:val="Heading2"/>
      </w:pPr>
      <w:r>
        <w:t xml:space="preserve">（二）深化「企校双制」培训，适配转型需求</w:t>
      </w:r>
    </w:p>
    <w:p>
      <w:pPr>
        <w:pStyle w:val="Heading2"/>
      </w:pPr>
      <w:r>
        <w:t xml:space="preserve">（三）深化社保制度改革与政策创新，提高务工稳定性与合规性</w:t>
      </w:r>
    </w:p>
    <w:p>
      <w:pPr>
        <w:pStyle w:val="Heading2"/>
      </w:pPr>
      <w:r>
        <w:t xml:space="preserve">（四）强化「政银保」协同发力，化解高龄用工风险与结构性断层</w:t>
      </w:r>
    </w:p>
    <w:p>
      <w:pPr>
        <w:pStyle w:val="Heading2"/>
      </w:pPr>
      <w:r>
        <w:t xml:space="preserve">（五）其他，请补充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黑体" w:cs="黑体" w:eastAsia="黑体" w:hAnsi="黑体"/>
      <w:b/>
      <w:bCs/>
      <w:sz w:val="28"/>
      <w:szCs w:val="28"/>
    </w:rPr>
  </w:style>
  <w:style w:type="paragraph" w:styleId="Heading2">
    <w:name w:val="Heading 2"/>
    <w:basedOn w:val="Normal"/>
    <w:next w:val="Normal"/>
    <w:qFormat/>
    <w:pPr>
      <w:spacing w:after="80" w:before="180"/>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2026-03-15T14:37:58.369Z</dcterms:created>
  <dcterms:modified xsi:type="dcterms:W3CDTF">2026-03-15T14:37:58.369Z</dcterms:modified>
</cp:coreProperties>
</file>

<file path=docProps/custom.xml><?xml version="1.0" encoding="utf-8"?>
<Properties xmlns="http://schemas.openxmlformats.org/officeDocument/2006/custom-properties" xmlns:vt="http://schemas.openxmlformats.org/officeDocument/2006/docPropsVTypes"/>
</file>