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X3a15b778c584f1c82c8529f5d483e98390a1803"/>
    <w:p>
      <w:pPr>
        <w:pStyle w:val="Heading1"/>
      </w:pPr>
      <w:r>
        <w:t xml:space="preserve">CVNA vs CarMax Most Recent Earnings Deep Dive on Margins, Per-Unit Profit, and Auto Loan Economics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Carvana Co.</w:t>
      </w:r>
      <w:hyperlink r:id="rId21">
        <w:r>
          <w:rPr>
            <w:rStyle w:val="Hyperlink"/>
          </w:rPr>
          <w:t xml:space="preserve">[1]</w:t>
        </w:r>
      </w:hyperlink>
      <w:r>
        <w:t xml:space="preserve">’s latest reported quarter (Q4 2025, ended</w:t>
      </w:r>
      <w:r>
        <w:t xml:space="preserve"> </w:t>
      </w:r>
      <w:r>
        <w:rPr>
          <w:b/>
          <w:bCs/>
        </w:rPr>
        <w:t xml:space="preserve">December 31, 2025</w:t>
      </w:r>
      <w:r>
        <w:t xml:space="preserve">, reported</w:t>
      </w:r>
      <w:r>
        <w:t xml:space="preserve"> </w:t>
      </w:r>
      <w:r>
        <w:rPr>
          <w:b/>
          <w:bCs/>
        </w:rPr>
        <w:t xml:space="preserve">February 18, 2026</w:t>
      </w:r>
      <w:r>
        <w:t xml:space="preserve">) showed</w:t>
      </w:r>
      <w:r>
        <w:t xml:space="preserve"> </w:t>
      </w:r>
      <w:r>
        <w:rPr>
          <w:b/>
          <w:bCs/>
        </w:rPr>
        <w:t xml:space="preserve">very high reported profitability</w:t>
      </w:r>
      <w:r>
        <w:t xml:space="preserve"> </w:t>
      </w:r>
      <w:r>
        <w:t xml:space="preserve">(net income margin</w:t>
      </w:r>
      <w:r>
        <w:t xml:space="preserve"> </w:t>
      </w:r>
      <w:r>
        <w:rPr>
          <w:b/>
          <w:bCs/>
        </w:rPr>
        <w:t xml:space="preserve">17.0%</w:t>
      </w:r>
      <w:r>
        <w:t xml:space="preserve">) but this figure was</w:t>
      </w:r>
      <w:r>
        <w:t xml:space="preserve"> </w:t>
      </w:r>
      <w:r>
        <w:rPr>
          <w:b/>
          <w:bCs/>
        </w:rPr>
        <w:t xml:space="preserve">materially boosted by large non-cash tax-related items</w:t>
      </w:r>
      <w:r>
        <w:t xml:space="preserve"> </w:t>
      </w:r>
      <w:r>
        <w:t xml:space="preserve">disclosed in management’s materials.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On an operating basis, Carvana emphasized “unit economics” (gross profit per retail unit) and disclosed</w:t>
      </w:r>
      <w:r>
        <w:t xml:space="preserve"> </w:t>
      </w:r>
      <w:r>
        <w:rPr>
          <w:b/>
          <w:bCs/>
        </w:rPr>
        <w:t xml:space="preserve">Total GPU of $6,427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Retail GPU of $2,990</w:t>
      </w:r>
      <w:r>
        <w:t xml:space="preserve"> </w:t>
      </w:r>
      <w:r>
        <w:t xml:space="preserve">in Q4 2025 (both down YoY), with management attributing the Retail GPU pressure primarily to</w:t>
      </w:r>
      <w:r>
        <w:t xml:space="preserve"> </w:t>
      </w:r>
      <w:r>
        <w:rPr>
          <w:b/>
          <w:bCs/>
        </w:rPr>
        <w:t xml:space="preserve">higher reconditioning costs</w:t>
      </w:r>
      <w:r>
        <w:t xml:space="preserve">,</w:t>
      </w:r>
      <w:r>
        <w:t xml:space="preserve"> </w:t>
      </w:r>
      <w:r>
        <w:rPr>
          <w:b/>
          <w:bCs/>
        </w:rPr>
        <w:t xml:space="preserve">lower shipping fee revenue</w:t>
      </w:r>
      <w:r>
        <w:t xml:space="preserve">, and</w:t>
      </w:r>
      <w:r>
        <w:t xml:space="preserve"> </w:t>
      </w:r>
      <w:r>
        <w:rPr>
          <w:b/>
          <w:bCs/>
        </w:rPr>
        <w:t xml:space="preserve">higher retail depreciation rates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Carvana’s auto-loan-driven income is structurally</w:t>
      </w:r>
      <w:r>
        <w:t xml:space="preserve"> </w:t>
      </w:r>
      <w:r>
        <w:rPr>
          <w:b/>
          <w:bCs/>
        </w:rPr>
        <w:t xml:space="preserve">front-loaded</w:t>
      </w:r>
      <w:r>
        <w:t xml:space="preserve">: it originates loans and typically sells them (whole-loan sales / forward flow / securitizations), recognizing</w:t>
      </w:r>
      <w:r>
        <w:t xml:space="preserve"> </w:t>
      </w:r>
      <w:r>
        <w:rPr>
          <w:b/>
          <w:bCs/>
        </w:rPr>
        <w:t xml:space="preserve">gain on loan sales</w:t>
      </w:r>
      <w:r>
        <w:t xml:space="preserve"> </w:t>
      </w:r>
      <w:r>
        <w:t xml:space="preserve">and related loan-hold interest while loans are held for sale. In FY 2025 it reported</w:t>
      </w:r>
      <w:r>
        <w:t xml:space="preserve"> </w:t>
      </w:r>
      <w:r>
        <w:rPr>
          <w:b/>
          <w:bCs/>
        </w:rPr>
        <w:t xml:space="preserve">$1.2B of total gain related to finance receivables sold</w:t>
      </w:r>
      <w:r>
        <w:t xml:space="preserve"> </w:t>
      </w:r>
      <w:r>
        <w:t xml:space="preserve">(included in “Other sales and revenues”), alongside</w:t>
      </w:r>
      <w:r>
        <w:t xml:space="preserve"> </w:t>
      </w:r>
      <w:r>
        <w:rPr>
          <w:b/>
          <w:bCs/>
        </w:rPr>
        <w:t xml:space="preserve">$4.7B</w:t>
      </w:r>
      <w:r>
        <w:t xml:space="preserve"> </w:t>
      </w:r>
      <w:r>
        <w:t xml:space="preserve">of principal sold under a forward flow arrangement and</w:t>
      </w:r>
      <w:r>
        <w:t xml:space="preserve"> </w:t>
      </w:r>
      <w:r>
        <w:rPr>
          <w:b/>
          <w:bCs/>
        </w:rPr>
        <w:t xml:space="preserve">$3.5B</w:t>
      </w:r>
      <w:r>
        <w:t xml:space="preserve"> </w:t>
      </w:r>
      <w:r>
        <w:t xml:space="preserve">via securitizations.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At year-end, Carvana reported</w:t>
      </w:r>
      <w:r>
        <w:t xml:space="preserve"> </w:t>
      </w:r>
      <w:r>
        <w:rPr>
          <w:b/>
          <w:bCs/>
        </w:rPr>
        <w:t xml:space="preserve">$813M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finance receivables held for sale, net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$486M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beneficial interests in securitizations</w:t>
      </w:r>
      <w:r>
        <w:t xml:space="preserve"> </w:t>
      </w:r>
      <w:r>
        <w:t xml:space="preserve">(risk retention assets).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CarMax, Inc.</w:t>
      </w:r>
      <w:hyperlink r:id="rId24">
        <w:r>
          <w:rPr>
            <w:rStyle w:val="Hyperlink"/>
          </w:rPr>
          <w:t xml:space="preserve">[6]</w:t>
        </w:r>
      </w:hyperlink>
      <w:r>
        <w:t xml:space="preserve">’s latest reported quarter (Q3 FY2026, ended</w:t>
      </w:r>
      <w:r>
        <w:t xml:space="preserve"> </w:t>
      </w:r>
      <w:r>
        <w:rPr>
          <w:b/>
          <w:bCs/>
        </w:rPr>
        <w:t xml:space="preserve">November 30, 2025</w:t>
      </w:r>
      <w:r>
        <w:t xml:space="preserve">, earnings released</w:t>
      </w:r>
      <w:r>
        <w:t xml:space="preserve"> </w:t>
      </w:r>
      <w:r>
        <w:rPr>
          <w:b/>
          <w:bCs/>
        </w:rPr>
        <w:t xml:space="preserve">December 18, 2025</w:t>
      </w:r>
      <w:r>
        <w:t xml:space="preserve">; Form 10‑Q filed for the period ended November 30, 2025) showed</w:t>
      </w:r>
      <w:r>
        <w:t xml:space="preserve"> </w:t>
      </w:r>
      <w:r>
        <w:rPr>
          <w:b/>
          <w:bCs/>
        </w:rPr>
        <w:t xml:space="preserve">gross margin ~10.2%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 earnings margin ~1.1%</w:t>
      </w:r>
      <w:r>
        <w:t xml:space="preserve">, with</w:t>
      </w:r>
      <w:r>
        <w:t xml:space="preserve"> </w:t>
      </w:r>
      <w:r>
        <w:rPr>
          <w:b/>
          <w:bCs/>
        </w:rPr>
        <w:t xml:space="preserve">retail gross profit per used unit of $2,235</w:t>
      </w:r>
      <w:r>
        <w:t xml:space="preserve"> </w:t>
      </w:r>
      <w:r>
        <w:t xml:space="preserve">(down</w:t>
      </w:r>
      <w:r>
        <w:t xml:space="preserve"> </w:t>
      </w:r>
      <w:r>
        <w:rPr>
          <w:b/>
          <w:bCs/>
        </w:rPr>
        <w:t xml:space="preserve">$71</w:t>
      </w:r>
      <w:r>
        <w:t xml:space="preserve"> </w:t>
      </w:r>
      <w:r>
        <w:t xml:space="preserve">YoY).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CarMax’s auto finance model is structurally</w:t>
      </w:r>
      <w:r>
        <w:t xml:space="preserve"> </w:t>
      </w:r>
      <w:r>
        <w:rPr>
          <w:b/>
          <w:bCs/>
        </w:rPr>
        <w:t xml:space="preserve">over-time</w:t>
      </w:r>
      <w:r>
        <w:t xml:space="preserve">: its finance segment (CAF) holds loans for investment and recognizes</w:t>
      </w:r>
      <w:r>
        <w:t xml:space="preserve"> </w:t>
      </w:r>
      <w:r>
        <w:rPr>
          <w:b/>
          <w:bCs/>
        </w:rPr>
        <w:t xml:space="preserve">interest and fee income</w:t>
      </w:r>
      <w:r>
        <w:t xml:space="preserve"> </w:t>
      </w:r>
      <w:r>
        <w:t xml:space="preserve">over the life of the portfolio, offset by funding costs and a credit loss provision. In Q3 FY2026, CAF reported</w:t>
      </w:r>
      <w:r>
        <w:t xml:space="preserve"> </w:t>
      </w:r>
      <w:r>
        <w:rPr>
          <w:b/>
          <w:bCs/>
        </w:rPr>
        <w:t xml:space="preserve">interest &amp; fee income $448.0M</w:t>
      </w:r>
      <w:r>
        <w:t xml:space="preserve">,</w:t>
      </w:r>
      <w:r>
        <w:t xml:space="preserve"> </w:t>
      </w:r>
      <w:r>
        <w:rPr>
          <w:b/>
          <w:bCs/>
        </w:rPr>
        <w:t xml:space="preserve">interest expense $188.3M</w:t>
      </w:r>
      <w:r>
        <w:t xml:space="preserve">,</w:t>
      </w:r>
      <w:r>
        <w:t xml:space="preserve"> </w:t>
      </w:r>
      <w:r>
        <w:rPr>
          <w:b/>
          <w:bCs/>
        </w:rPr>
        <w:t xml:space="preserve">total interest margin $259.7M</w:t>
      </w:r>
      <w:r>
        <w:t xml:space="preserve">,</w:t>
      </w:r>
      <w:r>
        <w:t xml:space="preserve"> </w:t>
      </w:r>
      <w:r>
        <w:rPr>
          <w:b/>
          <w:bCs/>
        </w:rPr>
        <w:t xml:space="preserve">provision for loan losses $73.4M</w:t>
      </w:r>
      <w:r>
        <w:t xml:space="preserve">, and</w:t>
      </w:r>
      <w:r>
        <w:t xml:space="preserve"> </w:t>
      </w:r>
      <w:r>
        <w:rPr>
          <w:b/>
          <w:bCs/>
        </w:rPr>
        <w:t xml:space="preserve">CAF income $174.7M</w:t>
      </w:r>
      <w:r>
        <w:t xml:space="preserve">, with</w:t>
      </w:r>
      <w:r>
        <w:t xml:space="preserve"> </w:t>
      </w:r>
      <w:r>
        <w:rPr>
          <w:b/>
          <w:bCs/>
        </w:rPr>
        <w:t xml:space="preserve">auto loans held for investment, net $16.151B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allowance for loan losses $474.8M (2.87%)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Across both companies, a key comparability issue is that “per-car profit” is defined differently and finance income is recognized on different timing curves (Carvana: gain-on-sale; CarMax: net interest margin over time).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26"/>
    <w:bookmarkStart w:id="27" w:name="source-set-and-reporting-timeline"/>
    <w:p>
      <w:pPr>
        <w:pStyle w:val="Heading2"/>
      </w:pPr>
      <w:r>
        <w:t xml:space="preserve">Source set and reporting timeline</w:t>
      </w:r>
    </w:p>
    <w:p>
      <w:pPr>
        <w:pStyle w:val="FirstParagraph"/>
      </w:pPr>
      <w:r>
        <w:rPr>
          <w:b/>
          <w:bCs/>
        </w:rPr>
        <w:t xml:space="preserve">Primary reporting packages used for this analysis (most recent cycles):</w:t>
      </w:r>
      <w:r>
        <w:t xml:space="preserve"> </w:t>
      </w:r>
      <w:r>
        <w:t xml:space="preserve">- Carvana: Q4/FY2025 shareholder letter filed as an 8‑K exhibit and FY2025 Form 10‑K (filed/report dated February 18, 2026).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br/>
      </w:r>
      <w:r>
        <w:t xml:space="preserve">- CarMax: Q3 FY2026 earnings release (IR) and Form 10‑Q for the quarter ended November 30, 2025.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Reporting timeline for most-recent results</w:t>
      </w:r>
      <w:r>
        <w:br/>
      </w:r>
      <w:r>
        <w:rPr>
          <w:rStyle w:val="VerbatimChar"/>
        </w:rPr>
        <w:t xml:space="preserve">  2025-11-30 : CarMax Q3 FY2026 quarter end</w:t>
      </w:r>
      <w:r>
        <w:br/>
      </w:r>
      <w:r>
        <w:rPr>
          <w:rStyle w:val="VerbatimChar"/>
        </w:rPr>
        <w:t xml:space="preserve">  2025-12-18 : CarMax earnings release</w:t>
      </w:r>
      <w:r>
        <w:br/>
      </w:r>
      <w:r>
        <w:rPr>
          <w:rStyle w:val="VerbatimChar"/>
        </w:rPr>
        <w:t xml:space="preserve">  2025-12-23 : CarMax Form 10-Q for period ended 2025-11-30 (filed)</w:t>
      </w:r>
      <w:r>
        <w:br/>
      </w:r>
      <w:r>
        <w:rPr>
          <w:rStyle w:val="VerbatimChar"/>
        </w:rPr>
        <w:t xml:space="preserve">  2025-12-31 : Carvana Q4 2025 quarter end</w:t>
      </w:r>
      <w:r>
        <w:br/>
      </w:r>
      <w:r>
        <w:rPr>
          <w:rStyle w:val="VerbatimChar"/>
        </w:rPr>
        <w:t xml:space="preserve">  2026-02-18 : Carvana earnings release / shareholder letter + FY2025 Form 10-K (filed)</w:t>
      </w:r>
    </w:p>
    <w:p>
      <w:pPr>
        <w:pStyle w:val="FirstParagraph"/>
      </w:pPr>
      <w:r>
        <w:t xml:space="preserve">(Quarter ends and filing/report dates are taken directly from the respective Form 10‑Q/10‑K headers and the earnings materials’ stated publication dates.)</w:t>
      </w:r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Primary source links (official filings and IR pages):</w:t>
      </w:r>
    </w:p>
    <w:p>
      <w:pPr>
        <w:pStyle w:val="SourceCode"/>
      </w:pPr>
      <w:r>
        <w:rPr>
          <w:rStyle w:val="VerbatimChar"/>
        </w:rPr>
        <w:t xml:space="preserve">Carvana FY2025 Form 10-K (period ended 2025-12-31): https://www.sec.gov/Archives/edgar/data/1690820/000169082026000009/cvna-20251231.htm</w:t>
      </w:r>
      <w:r>
        <w:br/>
      </w:r>
      <w:r>
        <w:rPr>
          <w:rStyle w:val="VerbatimChar"/>
        </w:rPr>
        <w:t xml:space="preserve">Carvana Q4/FY2025 shareholder letter (8-K exhibit): https://www.sec.gov/Archives/edgar/data/1690820/000169082026000008/a9918-k123125.htm</w:t>
      </w:r>
      <w:r>
        <w:br/>
      </w:r>
      <w:r>
        <w:rPr>
          <w:rStyle w:val="VerbatimChar"/>
        </w:rPr>
        <w:t xml:space="preserve">Carvana IR news release (Q4/FY2025): https://investors.carvana.com/news-releases/2026/02-18-2026-210513817</w:t>
      </w:r>
      <w:r>
        <w:br/>
      </w:r>
      <w:r>
        <w:br/>
      </w:r>
      <w:r>
        <w:rPr>
          <w:rStyle w:val="VerbatimChar"/>
        </w:rPr>
        <w:t xml:space="preserve">CarMax Form 10-Q (period ended 2025-11-30): https://www.sec.gov/Archives/edgar/data/1170010/000117001025000131/kmx-20251130.htm</w:t>
      </w:r>
      <w:r>
        <w:br/>
      </w:r>
      <w:r>
        <w:rPr>
          <w:rStyle w:val="VerbatimChar"/>
        </w:rPr>
        <w:t xml:space="preserve">CarMax IR earnings release page (Q3 FY2026): https://investors.carmax.com/news-and-events/news/news-details/2025/CarMax-Reports-Third-Quarter-Fiscal-Year-2026-Results/default.aspx</w:t>
      </w:r>
    </w:p>
    <w:bookmarkEnd w:id="27"/>
    <w:bookmarkStart w:id="28" w:name="metric-definitions-and-formulas"/>
    <w:p>
      <w:pPr>
        <w:pStyle w:val="Heading2"/>
      </w:pPr>
      <w:r>
        <w:t xml:space="preserve">Metric definitions and formulas</w:t>
      </w:r>
    </w:p>
    <w:p>
      <w:pPr>
        <w:pStyle w:val="FirstParagraph"/>
      </w:pPr>
      <w:r>
        <w:t xml:space="preserve">This section standardizes the terminology used in both companies’ disclosures. Where definitions are company-specific, the definition is labeled accordingly.</w:t>
      </w:r>
    </w:p>
    <w:p>
      <w:pPr>
        <w:pStyle w:val="BodyText"/>
      </w:pPr>
      <w:r>
        <w:rPr>
          <w:b/>
          <w:bCs/>
        </w:rPr>
        <w:t xml:space="preserve">Profit margin (common analytics convention):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Gross profit ÷ Net sales and operating revenues</w:t>
      </w:r>
      <w:r>
        <w:t xml:space="preserve"> </w:t>
      </w:r>
      <w:r>
        <w:t xml:space="preserve">(or “revenue,” depending on the filing line item).</w:t>
      </w:r>
      <w:r>
        <w:br/>
      </w:r>
      <w:r>
        <w:t xml:space="preserve">- CarMax reports gross profit and net sales and operating revenues in its income statement and also presents the related percent-of-revenue columns.</w:t>
      </w:r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br/>
      </w:r>
      <w:r>
        <w:t xml:space="preserve">- Carvana reports gross profit and net sales and operating revenues in its shareholder letter tables and Form 10‑K.</w:t>
      </w:r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Operating margin</w:t>
      </w:r>
      <w:r>
        <w:t xml:space="preserve"> </w:t>
      </w:r>
      <w:r>
        <w:t xml:space="preserve">(if available) =</w:t>
      </w:r>
      <w:r>
        <w:t xml:space="preserve"> </w:t>
      </w:r>
      <w:r>
        <w:rPr>
          <w:b/>
          <w:bCs/>
        </w:rPr>
        <w:t xml:space="preserve">Operating income ÷ Revenue</w:t>
      </w:r>
      <w:r>
        <w:t xml:space="preserve">. Carvana explicitly reports operating margin for Q4 and FY 2025 in its IR highlights.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income (earnings) margin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Net income (net earnings) ÷ Revenue</w:t>
      </w:r>
      <w:r>
        <w:t xml:space="preserve">. Both companies provide net income/earnings and revenues; Carvana explicitly reports net income margin in its highlights.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Per-car profit / gross profit per unit (GPU):</w:t>
      </w:r>
      <w:r>
        <w:t xml:space="preserve"> </w:t>
      </w:r>
      <w:r>
        <w:t xml:space="preserve">- Carvana’s key “per car” metric is</w:t>
      </w:r>
      <w:r>
        <w:t xml:space="preserve"> </w:t>
      </w:r>
      <w:r>
        <w:rPr>
          <w:b/>
          <w:bCs/>
        </w:rPr>
        <w:t xml:space="preserve">gross profit per retail unit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gross profit per retail unit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Total gross profit ÷ Retail vehicle unit sales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Retail gross profit per retail unit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Retail vehicle gross profit ÷ Retail vehicle unit sales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Carvana also provides non‑GAAP variants that adjust gross profit for specified items and similarly divide by retail units.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- CarMax’s closest analog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Retail gross profit per used unit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Retail used vehicle gross profit ÷ Retail used vehicle unit sales</w:t>
      </w:r>
      <w:r>
        <w:t xml:space="preserve"> </w:t>
      </w:r>
      <w:r>
        <w:t xml:space="preserve">(as stated in its earnings release narrative).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Auto loan income / financing revenue: recognition models</w:t>
      </w:r>
      <w:r>
        <w:t xml:space="preserve"> </w:t>
      </w:r>
      <w:r>
        <w:t xml:space="preserve">- Carvana:</w:t>
      </w:r>
      <w:r>
        <w:t xml:space="preserve"> </w:t>
      </w:r>
      <w:r>
        <w:t xml:space="preserve">- “Other sales and revenues” includes (among other items)</w:t>
      </w:r>
      <w:r>
        <w:t xml:space="preserve"> </w:t>
      </w:r>
      <w:r>
        <w:rPr>
          <w:b/>
          <w:bCs/>
        </w:rPr>
        <w:t xml:space="preserve">gains on sales of finance receivables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interest income received on finance receivables prior to selling them to investors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br/>
      </w:r>
      <w:r>
        <w:t xml:space="preserve">- Carvana discloses that it typically classifies originated loans as</w:t>
      </w:r>
      <w:r>
        <w:t xml:space="preserve"> </w:t>
      </w:r>
      <w:r>
        <w:rPr>
          <w:b/>
          <w:bCs/>
        </w:rPr>
        <w:t xml:space="preserve">finance receivables held for sale</w:t>
      </w:r>
      <w:r>
        <w:t xml:space="preserve"> </w:t>
      </w:r>
      <w:r>
        <w:t xml:space="preserve">(not held to maturity) and records a</w:t>
      </w:r>
      <w:r>
        <w:t xml:space="preserve"> </w:t>
      </w:r>
      <w:r>
        <w:rPr>
          <w:b/>
          <w:bCs/>
        </w:rPr>
        <w:t xml:space="preserve">valuation allowance</w:t>
      </w:r>
      <w:r>
        <w:t xml:space="preserve"> </w:t>
      </w:r>
      <w:r>
        <w:t xml:space="preserve">to carry them at the lower of unpaid principal balance or fair value.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- CarMax: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CAF income</w:t>
      </w:r>
      <w:r>
        <w:t xml:space="preserve"> </w:t>
      </w:r>
      <w:r>
        <w:t xml:space="preserve">“primarily reflects”</w:t>
      </w:r>
      <w:r>
        <w:t xml:space="preserve"> </w:t>
      </w:r>
      <w:r>
        <w:rPr>
          <w:b/>
          <w:bCs/>
        </w:rPr>
        <w:t xml:space="preserve">interest and fee income</w:t>
      </w:r>
      <w:r>
        <w:t xml:space="preserve"> </w:t>
      </w:r>
      <w:r>
        <w:t xml:space="preserve">on auto loans (held for investment and held for sale), less</w:t>
      </w:r>
      <w:r>
        <w:t xml:space="preserve"> </w:t>
      </w:r>
      <w:r>
        <w:rPr>
          <w:b/>
          <w:bCs/>
        </w:rPr>
        <w:t xml:space="preserve">funding costs</w:t>
      </w:r>
      <w:r>
        <w:t xml:space="preserve">, less a</w:t>
      </w:r>
      <w:r>
        <w:t xml:space="preserve"> </w:t>
      </w:r>
      <w:r>
        <w:rPr>
          <w:b/>
          <w:bCs/>
        </w:rPr>
        <w:t xml:space="preserve">provision for estimated loan losses</w:t>
      </w:r>
      <w:r>
        <w:t xml:space="preserve"> </w:t>
      </w:r>
      <w:r>
        <w:t xml:space="preserve">(on loans held for investment), and less direct CAF expenses; interest income is recognized when earned under contractual terms.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interest margin</w:t>
      </w:r>
      <w:r>
        <w:t xml:space="preserve"> </w:t>
      </w:r>
      <w:r>
        <w:t xml:space="preserve">(CAF) =</w:t>
      </w:r>
      <w:r>
        <w:t xml:space="preserve"> </w:t>
      </w:r>
      <w:r>
        <w:rPr>
          <w:b/>
          <w:bCs/>
        </w:rPr>
        <w:t xml:space="preserve">Interest and fee income − Interest expense</w:t>
      </w:r>
      <w:r>
        <w:t xml:space="preserve">; CarMax also reports</w:t>
      </w:r>
      <w:r>
        <w:t xml:space="preserve"> </w:t>
      </w:r>
      <w:r>
        <w:rPr>
          <w:b/>
          <w:bCs/>
        </w:rPr>
        <w:t xml:space="preserve">total interest margin as a percent of average auto loans outstanding</w:t>
      </w:r>
      <w:r>
        <w:t xml:space="preserve"> </w:t>
      </w:r>
      <w:r>
        <w:t xml:space="preserve">(a portfolio yield/spread measure).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Net finance receivables (balance sheet measure):</w:t>
      </w:r>
      <w:r>
        <w:t xml:space="preserve"> </w:t>
      </w:r>
      <w:r>
        <w:t xml:space="preserve">- Carvana:</w:t>
      </w:r>
      <w:r>
        <w:t xml:space="preserve"> </w:t>
      </w:r>
      <w:r>
        <w:rPr>
          <w:b/>
          <w:bCs/>
        </w:rPr>
        <w:t xml:space="preserve">Finance receivables held for sale, net</w:t>
      </w:r>
      <w:r>
        <w:t xml:space="preserve"> </w:t>
      </w:r>
      <w:r>
        <w:t xml:space="preserve">is presented as a current asset and is reported net of its valuation allowance.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br/>
      </w:r>
      <w:r>
        <w:t xml:space="preserve">- CarMax:</w:t>
      </w:r>
      <w:r>
        <w:t xml:space="preserve"> </w:t>
      </w:r>
      <w:r>
        <w:rPr>
          <w:b/>
          <w:bCs/>
        </w:rPr>
        <w:t xml:space="preserve">Auto loans held for investment, net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Auto loans held for investment + accrued interest/fees + other − allowance for loan losses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</w:p>
    <w:bookmarkEnd w:id="28"/>
    <w:bookmarkStart w:id="32" w:name="carvanas-most-recent-results"/>
    <w:p>
      <w:pPr>
        <w:pStyle w:val="Heading2"/>
      </w:pPr>
      <w:r>
        <w:t xml:space="preserve">Carvana’s most recent results</w:t>
      </w:r>
    </w:p>
    <w:p>
      <w:pPr>
        <w:pStyle w:val="FirstParagraph"/>
      </w:pPr>
      <w:r>
        <w:rPr>
          <w:b/>
          <w:bCs/>
        </w:rPr>
        <w:t xml:space="preserve">Exact quarter and report date.</w:t>
      </w:r>
      <w:r>
        <w:t xml:space="preserve"> </w:t>
      </w:r>
      <w:r>
        <w:t xml:space="preserve">Carvana’s latest report covers</w:t>
      </w:r>
      <w:r>
        <w:t xml:space="preserve"> </w:t>
      </w:r>
      <w:r>
        <w:rPr>
          <w:b/>
          <w:bCs/>
        </w:rPr>
        <w:t xml:space="preserve">Q4 2025 (ended December 31, 2025)</w:t>
      </w:r>
      <w:r>
        <w:t xml:space="preserve"> </w:t>
      </w:r>
      <w:r>
        <w:t xml:space="preserve">and was reported on</w:t>
      </w:r>
      <w:r>
        <w:t xml:space="preserve"> </w:t>
      </w:r>
      <w:r>
        <w:rPr>
          <w:b/>
          <w:bCs/>
        </w:rPr>
        <w:t xml:space="preserve">February 18, 2026</w:t>
      </w:r>
      <w:r>
        <w:t xml:space="preserve">, alongside FY 2025 results.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bookmarkStart w:id="29" w:name="X1e9ffc31e25700410b3cb80e96956e7b67a54fd"/>
    <w:p>
      <w:pPr>
        <w:pStyle w:val="Heading3"/>
      </w:pPr>
      <w:r>
        <w:t xml:space="preserve">Profit margin and core profitability levels</w:t>
      </w:r>
    </w:p>
    <w:p>
      <w:pPr>
        <w:pStyle w:val="FirstParagraph"/>
      </w:pPr>
      <w:r>
        <w:t xml:space="preserve">In Q4 2025, Carvana reported: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(net sales and operating revenues): $5.603B</w:t>
      </w:r>
      <w:r>
        <w:t xml:space="preserve"> </w:t>
      </w:r>
      <w:r>
        <w:t xml:space="preserve">(up 58.0% YoY).</w:t>
      </w:r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gross profit: $1.051B</w:t>
      </w:r>
      <w:r>
        <w:t xml:space="preserve"> </w:t>
      </w:r>
      <w:r>
        <w:t xml:space="preserve">(up 37.7% YoY).</w:t>
      </w:r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GAAP operating income: $424M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operating margin: 7.6%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 income: $951M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 income margin: 17.0%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A critical comparability note is that management explicitly disclosed that</w:t>
      </w:r>
      <w:r>
        <w:t xml:space="preserve"> </w:t>
      </w:r>
      <w:r>
        <w:rPr>
          <w:b/>
          <w:bCs/>
        </w:rPr>
        <w:t xml:space="preserve">net income in Q4 2025 was positively impacted by ~\$685M</w:t>
      </w:r>
      <w:r>
        <w:t xml:space="preserve"> </w:t>
      </w:r>
      <w:r>
        <w:t xml:space="preserve">related to the</w:t>
      </w:r>
      <w:r>
        <w:t xml:space="preserve"> </w:t>
      </w:r>
      <w:r>
        <w:rPr>
          <w:b/>
          <w:bCs/>
        </w:rPr>
        <w:t xml:space="preserve">release of a valuation allowance against deferred tax assets and recording the full tax receivable agreement liability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negatively impacted by ~\$67M</w:t>
      </w:r>
      <w:r>
        <w:t xml:space="preserve"> </w:t>
      </w:r>
      <w:r>
        <w:t xml:space="preserve">from fair value changes on warrants to acquire Root, Inc.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common stock.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This indicates that headline net margins are not a clean proxy for underlying unit-level economics.</w:t>
      </w:r>
    </w:p>
    <w:p>
      <w:pPr>
        <w:pStyle w:val="BodyText"/>
      </w:pPr>
      <w:r>
        <w:t xml:space="preserve">For FY 2025 (context supporting trend analysis), Carvana reported: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 $20.322B</w:t>
      </w:r>
      <w:r>
        <w:t xml:space="preserve">;</w:t>
      </w:r>
      <w:r>
        <w:t xml:space="preserve"> </w:t>
      </w:r>
      <w:r>
        <w:rPr>
          <w:b/>
          <w:bCs/>
        </w:rPr>
        <w:t xml:space="preserve">gross profit: $4.192B</w:t>
      </w:r>
      <w:r>
        <w:t xml:space="preserve">;</w:t>
      </w:r>
      <w:r>
        <w:t xml:space="preserve"> </w:t>
      </w:r>
      <w:r>
        <w:rPr>
          <w:b/>
          <w:bCs/>
        </w:rPr>
        <w:t xml:space="preserve">GAAP operating income: $1.881B</w:t>
      </w:r>
      <w:r>
        <w:t xml:space="preserve">;</w:t>
      </w:r>
      <w:r>
        <w:t xml:space="preserve"> </w:t>
      </w:r>
      <w:r>
        <w:rPr>
          <w:b/>
          <w:bCs/>
        </w:rPr>
        <w:t xml:space="preserve">net income: $1.895B</w:t>
      </w:r>
      <w:r>
        <w:t xml:space="preserve">; and</w:t>
      </w:r>
      <w:r>
        <w:t xml:space="preserve"> </w:t>
      </w:r>
      <w:r>
        <w:rPr>
          <w:b/>
          <w:bCs/>
        </w:rPr>
        <w:t xml:space="preserve">net income margin: 9.3%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</w:p>
    <w:bookmarkEnd w:id="29"/>
    <w:bookmarkStart w:id="30" w:name="X774a39da0c4100aad5cb904620b0eb79575fb5d"/>
    <w:p>
      <w:pPr>
        <w:pStyle w:val="Heading3"/>
      </w:pPr>
      <w:r>
        <w:t xml:space="preserve">Per-car profit and gross profit per retail unit</w:t>
      </w:r>
    </w:p>
    <w:p>
      <w:pPr>
        <w:pStyle w:val="FirstParagraph"/>
      </w:pPr>
      <w:r>
        <w:t xml:space="preserve">Carvana sold</w:t>
      </w:r>
      <w:r>
        <w:t xml:space="preserve"> </w:t>
      </w:r>
      <w:r>
        <w:rPr>
          <w:b/>
          <w:bCs/>
        </w:rPr>
        <w:t xml:space="preserve">163,522 retail units</w:t>
      </w:r>
      <w:r>
        <w:t xml:space="preserve"> </w:t>
      </w:r>
      <w:r>
        <w:t xml:space="preserve">in Q4 2025 (up 43.0% YoY) and disclosed the following per retail-unit economics: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gross profit per retail unit (Total GPU): $6,427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$6,671</w:t>
      </w:r>
      <w:r>
        <w:t xml:space="preserve"> </w:t>
      </w:r>
      <w:r>
        <w:t xml:space="preserve">in Q4 2024 (down</w:t>
      </w:r>
      <w:r>
        <w:t xml:space="preserve"> </w:t>
      </w:r>
      <w:r>
        <w:rPr>
          <w:b/>
          <w:bCs/>
        </w:rPr>
        <w:t xml:space="preserve">$244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Retail gross profit per retail unit: $2,990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$3,226</w:t>
      </w:r>
      <w:r>
        <w:t xml:space="preserve"> </w:t>
      </w:r>
      <w:r>
        <w:t xml:space="preserve">in Q4 2024 (down</w:t>
      </w:r>
      <w:r>
        <w:t xml:space="preserve"> </w:t>
      </w:r>
      <w:r>
        <w:rPr>
          <w:b/>
          <w:bCs/>
        </w:rPr>
        <w:t xml:space="preserve">$236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gross profit per retail unit: $2,807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$2,771</w:t>
      </w:r>
      <w:r>
        <w:t xml:space="preserve"> </w:t>
      </w:r>
      <w:r>
        <w:t xml:space="preserve">in Q4 2024 (up</w:t>
      </w:r>
      <w:r>
        <w:t xml:space="preserve"> </w:t>
      </w:r>
      <w:r>
        <w:rPr>
          <w:b/>
          <w:bCs/>
        </w:rPr>
        <w:t xml:space="preserve">$36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</w:p>
    <w:p>
      <w:pPr>
        <w:pStyle w:val="FirstParagraph"/>
      </w:pPr>
      <w:r>
        <w:t xml:space="preserve">Carvana’s shareholder letter explicitly ties Retail GPU underperformance to operational drivers:</w:t>
      </w:r>
      <w:r>
        <w:t xml:space="preserve"> </w:t>
      </w:r>
      <w:r>
        <w:t xml:space="preserve">- Lower shipping fees (from shorter delivery distances as customers bought cars closer to them) reduced shipping-fee revenue, even as it reduced SG&amp;A operational expenses.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br/>
      </w:r>
      <w:r>
        <w:t xml:space="preserve">- Reconditioning costs were higher than expected, notably at locations with lower management tenure; management quantified that aligning all production locations to top-quartile costs could have reduced reconditioning cost per unit by</w:t>
      </w:r>
      <w:r>
        <w:t xml:space="preserve"> </w:t>
      </w:r>
      <w:r>
        <w:rPr>
          <w:b/>
          <w:bCs/>
        </w:rPr>
        <w:t xml:space="preserve">~$220</w:t>
      </w:r>
      <w:r>
        <w:t xml:space="preserve"> </w:t>
      </w:r>
      <w:r>
        <w:t xml:space="preserve">in Q4.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br/>
      </w:r>
      <w:r>
        <w:t xml:space="preserve">- Retail depreciation rates increased sequentially more than last year, pressuring Retail GPU.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Management further guided that reconditioning costs could remain elevated in Q1 2026, but still expected a sequential increase in Retail GPU.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bookmarkEnd w:id="30"/>
    <w:bookmarkStart w:id="31" w:name="X675a8a9f53c2aad1141eef55db73291e9fbb663"/>
    <w:p>
      <w:pPr>
        <w:pStyle w:val="Heading3"/>
      </w:pPr>
      <w:r>
        <w:t xml:space="preserve">Auto loan income, interest income, and finance receivables</w:t>
      </w:r>
    </w:p>
    <w:p>
      <w:pPr>
        <w:pStyle w:val="FirstParagraph"/>
      </w:pPr>
      <w:r>
        <w:t xml:space="preserve">Carvana’s financing economics are disclosed through (i) the “Other sales and revenues / Other gross profit” line, (ii) explicit loan sale volumes and gains, and (iii) balance-sheet finance receivables and securitization-related retained interests.</w:t>
      </w:r>
    </w:p>
    <w:p>
      <w:pPr>
        <w:pStyle w:val="BodyText"/>
      </w:pPr>
      <w:r>
        <w:rPr>
          <w:b/>
          <w:bCs/>
        </w:rPr>
        <w:t xml:space="preserve">Financing revenue and gain-on-sale dynamics</w:t>
      </w:r>
      <w:r>
        <w:t xml:space="preserve"> </w:t>
      </w:r>
      <w:r>
        <w:t xml:space="preserve">- In Q4 2025, Carvana reported</w:t>
      </w:r>
      <w:r>
        <w:t xml:space="preserve"> </w:t>
      </w:r>
      <w:r>
        <w:rPr>
          <w:b/>
          <w:bCs/>
        </w:rPr>
        <w:t xml:space="preserve">Other sales and revenues of $459M</w:t>
      </w:r>
      <w:r>
        <w:t xml:space="preserve"> </w:t>
      </w:r>
      <w:r>
        <w:t xml:space="preserve">(and, by definition in its tables,</w:t>
      </w:r>
      <w:r>
        <w:t xml:space="preserve"> </w:t>
      </w:r>
      <w:r>
        <w:rPr>
          <w:b/>
          <w:bCs/>
        </w:rPr>
        <w:t xml:space="preserve">Other gross profit of $459M</w:t>
      </w:r>
      <w:r>
        <w:t xml:space="preserve">), up from $317M in Q4 2024.</w:t>
      </w:r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br/>
      </w:r>
      <w:r>
        <w:t xml:space="preserve">- In FY 2025, Carvana reported</w:t>
      </w:r>
      <w:r>
        <w:t xml:space="preserve"> </w:t>
      </w:r>
      <w:r>
        <w:rPr>
          <w:b/>
          <w:bCs/>
        </w:rPr>
        <w:t xml:space="preserve">Other sales and revenues of $1.733B</w:t>
      </w:r>
      <w:r>
        <w:t xml:space="preserve">, and stated that these are “100% gross margin products for which gross profit equals revenue.”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br/>
      </w:r>
      <w:r>
        <w:t xml:space="preserve">- Carvana disclosed that</w:t>
      </w:r>
      <w:r>
        <w:t xml:space="preserve"> </w:t>
      </w:r>
      <w:r>
        <w:rPr>
          <w:b/>
          <w:bCs/>
        </w:rPr>
        <w:t xml:space="preserve">other sales and revenues primarily includes gains on the sales of finance receivables</w:t>
      </w:r>
      <w:r>
        <w:t xml:space="preserve"> </w:t>
      </w:r>
      <w:r>
        <w:t xml:space="preserve">and commissions on complementary products, and it expects the category to trend with retail units and improve as it monetizes originated loans (including via securitizations).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Carvana provided explicit disclosure of loan sale gains and volumes in its FY 2025 Form 10‑K: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gain related to finance receivables sold</w:t>
      </w:r>
      <w:r>
        <w:t xml:space="preserve"> </w:t>
      </w:r>
      <w:r>
        <w:t xml:space="preserve">(to financing partners and via securitizations) was</w:t>
      </w:r>
      <w:r>
        <w:t xml:space="preserve"> </w:t>
      </w:r>
      <w:r>
        <w:rPr>
          <w:b/>
          <w:bCs/>
        </w:rPr>
        <w:t xml:space="preserve">$1.2B (FY 2025)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$755M (FY 2024)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$434M (FY 2023)</w:t>
      </w:r>
      <w:r>
        <w:t xml:space="preserve">, included in “other sales and revenues.”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br/>
      </w:r>
      <w:r>
        <w:t xml:space="preserve">- Finance receivables sold under a forward flow agreement with Ally Bank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/ Ally Financial Inc.</w:t>
      </w:r>
      <w:hyperlink r:id="rId23">
        <w:r>
          <w:rPr>
            <w:rStyle w:val="Hyperlink"/>
          </w:rPr>
          <w:t xml:space="preserve">[40]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$4.7B principal balance (FY 2025)</w:t>
      </w:r>
      <w:r>
        <w:t xml:space="preserve"> </w:t>
      </w:r>
      <w:r>
        <w:t xml:space="preserve">vs $3.0B (FY 2024) and $3.6B (FY 2023).</w:t>
      </w:r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br/>
      </w:r>
      <w:r>
        <w:t xml:space="preserve">- Finance receivables sold through securitization transactions:</w:t>
      </w:r>
      <w:r>
        <w:t xml:space="preserve"> </w:t>
      </w:r>
      <w:r>
        <w:rPr>
          <w:b/>
          <w:bCs/>
        </w:rPr>
        <w:t xml:space="preserve">$3.5B principal balance (FY 2025)</w:t>
      </w:r>
      <w:r>
        <w:t xml:space="preserve"> </w:t>
      </w:r>
      <w:r>
        <w:t xml:space="preserve">vs $3.8B (FY 2024) and $2.8B (FY 2023).</w:t>
      </w:r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br/>
      </w:r>
      <w:r>
        <w:t xml:space="preserve">- The company also completed</w:t>
      </w:r>
      <w:r>
        <w:t xml:space="preserve"> </w:t>
      </w:r>
      <w:r>
        <w:rPr>
          <w:b/>
          <w:bCs/>
        </w:rPr>
        <w:t xml:space="preserve">$4.2B</w:t>
      </w:r>
      <w:r>
        <w:t xml:space="preserve"> </w:t>
      </w:r>
      <w:r>
        <w:t xml:space="preserve">of “fixed pool loan sales” (non-securitization) in FY 2025.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Interest income on loans</w:t>
      </w:r>
      <w:r>
        <w:t xml:space="preserve"> </w:t>
      </w:r>
      <w:r>
        <w:t xml:space="preserve">Carvana states that</w:t>
      </w:r>
      <w:r>
        <w:t xml:space="preserve"> </w:t>
      </w:r>
      <w:r>
        <w:rPr>
          <w:b/>
          <w:bCs/>
        </w:rPr>
        <w:t xml:space="preserve">interest income on finance receivables held for sale is recognized when earned based on contractual terms and is included in “other sales and revenues.”</w:t>
      </w:r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br/>
      </w:r>
      <w:r>
        <w:t xml:space="preserve">However, in the disclosed statements of operations and the referenced note language, Carvana does not separately break out “interest income on finance receivables held for sale” as a standalone line item from the larger “other sales and revenues” category; instead, it provides qualitative drivers (including that other sales and revenues growth was partially offset by</w:t>
      </w:r>
      <w:r>
        <w:t xml:space="preserve"> </w:t>
      </w:r>
      <w:r>
        <w:rPr>
          <w:b/>
          <w:bCs/>
        </w:rPr>
        <w:t xml:space="preserve">lower interest income on finance receivables held for sale</w:t>
      </w:r>
      <w:r>
        <w:t xml:space="preserve"> </w:t>
      </w:r>
      <w:r>
        <w:t xml:space="preserve">in FY 2025).</w:t>
      </w:r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Net finance receivables and related balance-sheet assets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December 31, 2025</w:t>
      </w:r>
      <w:r>
        <w:t xml:space="preserve">, Carvana reported: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 receivables held for sale, net: $813M</w:t>
      </w:r>
      <w:r>
        <w:t xml:space="preserve"> </w:t>
      </w:r>
      <w:r>
        <w:t xml:space="preserve">(vs $612M at December 31, 2024).</w:t>
      </w:r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br/>
      </w:r>
      <w:r>
        <w:t xml:space="preserve">- A</w:t>
      </w:r>
      <w:r>
        <w:t xml:space="preserve"> </w:t>
      </w:r>
      <w:r>
        <w:rPr>
          <w:b/>
          <w:bCs/>
        </w:rPr>
        <w:t xml:space="preserve">valuation allowance</w:t>
      </w:r>
      <w:r>
        <w:t xml:space="preserve"> </w:t>
      </w:r>
      <w:r>
        <w:t xml:space="preserve">on those finance receivables of</w:t>
      </w:r>
      <w:r>
        <w:t xml:space="preserve"> </w:t>
      </w:r>
      <w:r>
        <w:rPr>
          <w:b/>
          <w:bCs/>
        </w:rPr>
        <w:t xml:space="preserve">$28M</w:t>
      </w:r>
      <w:r>
        <w:t xml:space="preserve"> </w:t>
      </w:r>
      <w:r>
        <w:t xml:space="preserve">(vs $38M at December 31, 2024).</w:t>
      </w:r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Beneficial interests in securitizations: $486M</w:t>
      </w:r>
      <w:r>
        <w:t xml:space="preserve"> </w:t>
      </w:r>
      <w:r>
        <w:t xml:space="preserve">(vs $464M at December 31, 2024), representing retained interests (risk retention) in unconsolidated securitization VIEs.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- In its VIE disclosure, Carvana presents the</w:t>
      </w:r>
      <w:r>
        <w:t xml:space="preserve"> </w:t>
      </w:r>
      <w:r>
        <w:rPr>
          <w:b/>
          <w:bCs/>
        </w:rPr>
        <w:t xml:space="preserve">carrying value and total exposure</w:t>
      </w:r>
      <w:r>
        <w:t xml:space="preserve"> </w:t>
      </w:r>
      <w:r>
        <w:t xml:space="preserve">of retained interests (e.g., rated notes and certificates) and states it was</w:t>
      </w:r>
      <w:r>
        <w:t xml:space="preserve"> </w:t>
      </w:r>
      <w:r>
        <w:rPr>
          <w:b/>
          <w:bCs/>
        </w:rPr>
        <w:t xml:space="preserve">not the primary beneficiary</w:t>
      </w:r>
      <w:r>
        <w:t xml:space="preserve"> </w:t>
      </w:r>
      <w:r>
        <w:t xml:space="preserve">and thus did not consolidate these securitization trusts at year-end.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Credit loss provisioning proxies</w:t>
      </w:r>
      <w:r>
        <w:t xml:space="preserve"> </w:t>
      </w:r>
      <w:r>
        <w:t xml:space="preserve">Carvana’s financing receivables are marked/valued with a valuation allowance (for held-for-sale receivables) rather than a held-for-investment CECL allowance framework.</w:t>
      </w:r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For broader receivable credit costs, its cash flow statement includes “</w:t>
      </w:r>
      <w:r>
        <w:rPr>
          <w:b/>
          <w:bCs/>
        </w:rPr>
        <w:t xml:space="preserve">provision for bad debt and valuation allowance</w:t>
      </w:r>
      <w:r>
        <w:t xml:space="preserve">” of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in FY 2025 (vs $27M in FY 2024 and $38M in FY 2023).</w:t>
      </w:r>
      <w:r>
        <w:t xml:space="preserve"> </w:t>
      </w:r>
      <w:hyperlink r:id="rId23">
        <w:r>
          <w:rPr>
            <w:rStyle w:val="Hyperlink"/>
          </w:rPr>
          <w:t xml:space="preserve">[48]</w:t>
        </w:r>
      </w:hyperlink>
    </w:p>
    <w:bookmarkEnd w:id="31"/>
    <w:bookmarkEnd w:id="32"/>
    <w:bookmarkStart w:id="36" w:name="carmaxs-most-recent-results"/>
    <w:p>
      <w:pPr>
        <w:pStyle w:val="Heading2"/>
      </w:pPr>
      <w:r>
        <w:t xml:space="preserve">CarMax’s most recent results</w:t>
      </w:r>
    </w:p>
    <w:p>
      <w:pPr>
        <w:pStyle w:val="FirstParagraph"/>
      </w:pPr>
      <w:r>
        <w:rPr>
          <w:b/>
          <w:bCs/>
        </w:rPr>
        <w:t xml:space="preserve">Exact quarter and report date.</w:t>
      </w:r>
      <w:r>
        <w:t xml:space="preserve"> </w:t>
      </w:r>
      <w:r>
        <w:t xml:space="preserve">CarMax’s latest results cover</w:t>
      </w:r>
      <w:r>
        <w:t xml:space="preserve"> </w:t>
      </w:r>
      <w:r>
        <w:rPr>
          <w:b/>
          <w:bCs/>
        </w:rPr>
        <w:t xml:space="preserve">Q3 fiscal year 2026 (ended November 30, 2025)</w:t>
      </w:r>
      <w:r>
        <w:t xml:space="preserve">, with an earnings release dated</w:t>
      </w:r>
      <w:r>
        <w:t xml:space="preserve"> </w:t>
      </w:r>
      <w:r>
        <w:rPr>
          <w:b/>
          <w:bCs/>
        </w:rPr>
        <w:t xml:space="preserve">December 18, 2025</w:t>
      </w:r>
      <w:r>
        <w:t xml:space="preserve"> </w:t>
      </w:r>
      <w:r>
        <w:t xml:space="preserve">and a Form 10‑Q for the quarterly period ended November 30, 2025.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bookmarkStart w:id="33" w:name="profit-margin-and-per-unit-gross-profit"/>
    <w:p>
      <w:pPr>
        <w:pStyle w:val="Heading3"/>
      </w:pPr>
      <w:r>
        <w:t xml:space="preserve">Profit margin and per-unit gross profit</w:t>
      </w:r>
    </w:p>
    <w:p>
      <w:pPr>
        <w:pStyle w:val="FirstParagraph"/>
      </w:pPr>
      <w:r>
        <w:t xml:space="preserve">From CarMax’s Q3 FY2026 Form 10‑Q income statement (three months ended November 30,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sales and operating revenues: $5.793946B</w:t>
      </w:r>
      <w:r>
        <w:t xml:space="preserve"> </w:t>
      </w:r>
      <w:r>
        <w:t xml:space="preserve">(vs $6.223371B prior year quarter).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Gross profit: $590.048M</w:t>
      </w:r>
      <w:r>
        <w:t xml:space="preserve"> </w:t>
      </w:r>
      <w:r>
        <w:t xml:space="preserve">(10.2% of revenues) (vs $677.646M, 10.9% prior year quarter).</w:t>
      </w:r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 earnings: $62.215M</w:t>
      </w:r>
      <w:r>
        <w:t xml:space="preserve"> </w:t>
      </w:r>
      <w:r>
        <w:t xml:space="preserve">(1.1% of revenues), down from $125.441M (2.0%) in the prior year quarter.</w:t>
      </w:r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For “per-car profit,” CarMax’s earnings release provides unit-level gross profit: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retail used vehicle unit sales: 169,557</w:t>
      </w:r>
      <w:r>
        <w:t xml:space="preserve"> </w:t>
      </w:r>
      <w:r>
        <w:t xml:space="preserve">(down 8.0% YoY).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Retail gross profit per used unit: $2,235</w:t>
      </w:r>
      <w:r>
        <w:t xml:space="preserve">, “down $71” from last year’s Q3 record (and described as in line with historical averages).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Wholesale gross profit per unit: $899</w:t>
      </w:r>
      <w:r>
        <w:t xml:space="preserve">, down $116 YoY, with management attributing pressure to “steep market depreciation.”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Management also highlighted SG&amp;A deleverage and items affecting comparability: SG&amp;A rose modestly in dollars but surged as a percent of gross profit due to lower gross profit, with drivers including increased advertising and severance costs tied to leadership changes and workforce reduction actions.</w:t>
      </w:r>
      <w:r>
        <w:t xml:space="preserve"> </w:t>
      </w:r>
      <w:hyperlink r:id="rId25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Looking forward, CarMax explicitly anticipated actions likely to affect near-term margins (comparability risk for forward-looking analysis): it expected to improve price competitiveness by</w:t>
      </w:r>
      <w:r>
        <w:t xml:space="preserve"> </w:t>
      </w:r>
      <w:r>
        <w:rPr>
          <w:b/>
          <w:bCs/>
        </w:rPr>
        <w:t xml:space="preserve">lowering retail used unit margins</w:t>
      </w:r>
      <w:r>
        <w:t xml:space="preserve"> </w:t>
      </w:r>
      <w:r>
        <w:t xml:space="preserve">in the next quarter and expected higher marketing spend per unit, implying a deliberate margin tradeoff to improve sales trends.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</w:p>
    <w:bookmarkEnd w:id="33"/>
    <w:bookmarkStart w:id="35" w:name="X89d711e7d1e06fff213d5e669e386fa44164fff"/>
    <w:p>
      <w:pPr>
        <w:pStyle w:val="Heading3"/>
      </w:pPr>
      <w:r>
        <w:t xml:space="preserve">Auto loans: interest income, receivables, yield, and credit losses</w:t>
      </w:r>
    </w:p>
    <w:p>
      <w:pPr>
        <w:pStyle w:val="FirstParagraph"/>
      </w:pPr>
      <w:r>
        <w:t xml:space="preserve">CarMax provides unusually detailed credit-and-yield metrics for its finance segment (CAF) in both its earnings materials and Form 10‑Q.</w:t>
      </w:r>
    </w:p>
    <w:p>
      <w:pPr>
        <w:pStyle w:val="BodyText"/>
      </w:pPr>
      <w:r>
        <w:rPr>
          <w:b/>
          <w:bCs/>
        </w:rPr>
        <w:t xml:space="preserve">Interest income, funding cost, and CAF income</w:t>
      </w:r>
      <w:r>
        <w:t xml:space="preserve"> </w:t>
      </w:r>
      <w:r>
        <w:t xml:space="preserve">For Q3 FY2026 (three months ended November 30, 2025), CarMax reported: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Interest and fee income: $448.0M</w:t>
      </w:r>
      <w:r>
        <w:t xml:space="preserve"> </w:t>
      </w:r>
      <w:r>
        <w:t xml:space="preserve">(vs $469.2M prior year quarter).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Interest expense: $188.3M</w:t>
      </w:r>
      <w:r>
        <w:t xml:space="preserve"> </w:t>
      </w:r>
      <w:r>
        <w:t xml:space="preserve">(vs $193.2M prior year quarter).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interest margin: $259.7M</w:t>
      </w:r>
      <w:r>
        <w:t xml:space="preserve"> </w:t>
      </w:r>
      <w:r>
        <w:t xml:space="preserve">(vs $276.0M prior year quarter).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Provision for loan losses: $73.4M</w:t>
      </w:r>
      <w:r>
        <w:t xml:space="preserve"> </w:t>
      </w:r>
      <w:r>
        <w:t xml:space="preserve">(vs $72.6M prior year quarter).</w:t>
      </w:r>
      <w:r>
        <w:t xml:space="preserve"> </w:t>
      </w:r>
      <w:hyperlink r:id="rId24">
        <w:r>
          <w:rPr>
            <w:rStyle w:val="Hyperlink"/>
          </w:rPr>
          <w:t xml:space="preserve">[52]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CAF income: $174.7M</w:t>
      </w:r>
      <w:r>
        <w:t xml:space="preserve"> </w:t>
      </w:r>
      <w:r>
        <w:t xml:space="preserve">(vs $159.9M prior year quarter).</w:t>
      </w:r>
      <w:r>
        <w:t xml:space="preserve"> </w:t>
      </w:r>
      <w:hyperlink r:id="rId24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CarMax also discloses that</w:t>
      </w:r>
      <w:r>
        <w:t xml:space="preserve"> </w:t>
      </w:r>
      <w:r>
        <w:rPr>
          <w:b/>
          <w:bCs/>
        </w:rPr>
        <w:t xml:space="preserve">CAF income primarily reflects</w:t>
      </w:r>
      <w:r>
        <w:t xml:space="preserve"> </w:t>
      </w:r>
      <w:r>
        <w:t xml:space="preserve">interest &amp; fee income less funding costs, credit provision, and direct expenses.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Net finance receivables (auto loans held for investment, net)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November 30, 2025</w:t>
      </w:r>
      <w:r>
        <w:t xml:space="preserve">, CarMax reported: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 loans held for investment: $16.5338B</w:t>
      </w:r>
      <w:r>
        <w:br/>
      </w:r>
      <w:r>
        <w:t xml:space="preserve">- plus</w:t>
      </w:r>
      <w:r>
        <w:t xml:space="preserve"> </w:t>
      </w:r>
      <w:r>
        <w:rPr>
          <w:b/>
          <w:bCs/>
        </w:rPr>
        <w:t xml:space="preserve">accrued interest and fees: $100.5M</w:t>
      </w:r>
      <w:r>
        <w:br/>
      </w:r>
      <w:r>
        <w:t xml:space="preserve">- minus</w:t>
      </w:r>
      <w:r>
        <w:t xml:space="preserve"> </w:t>
      </w:r>
      <w:r>
        <w:rPr>
          <w:b/>
          <w:bCs/>
        </w:rPr>
        <w:t xml:space="preserve">allowance for loan losses: $474.8M</w:t>
      </w:r>
      <w:r>
        <w:br/>
      </w:r>
      <w:r>
        <w:t xml:space="preserve">=</w:t>
      </w:r>
      <w:r>
        <w:t xml:space="preserve"> </w:t>
      </w:r>
      <w:r>
        <w:rPr>
          <w:b/>
          <w:bCs/>
        </w:rPr>
        <w:t xml:space="preserve">Auto loans held for investment, net: $16.1512B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Notably, CarMax reported</w:t>
      </w:r>
      <w:r>
        <w:t xml:space="preserve"> </w:t>
      </w:r>
      <w:r>
        <w:rPr>
          <w:b/>
          <w:bCs/>
        </w:rPr>
        <w:t xml:space="preserve">auto loans held for sale: $0</w:t>
      </w:r>
      <w:r>
        <w:t xml:space="preserve"> </w:t>
      </w:r>
      <w:r>
        <w:t xml:space="preserve">at both November 30, 2025 and February 28, 2025 balance sheet dates, reflecting that certain loan sales/off-balance sheet structures removed such balances by period end.</w:t>
      </w:r>
      <w:r>
        <w:t xml:space="preserve"> </w:t>
      </w:r>
      <w:hyperlink r:id="rId24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Yield on receivables and origination “pricing”</w:t>
      </w:r>
      <w:r>
        <w:t xml:space="preserve"> </w:t>
      </w:r>
      <w:r>
        <w:t xml:space="preserve">CarMax provides multiple “yield” perspectives: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Weighted average contract rate: 11.0%</w:t>
      </w:r>
      <w:r>
        <w:t xml:space="preserve"> </w:t>
      </w:r>
      <w:r>
        <w:t xml:space="preserve">(vs 11.2% prior year quarter).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interest margin as % of average auto loans outstanding: 6.2%</w:t>
      </w:r>
      <w:r>
        <w:t xml:space="preserve"> </w:t>
      </w:r>
      <w:r>
        <w:t xml:space="preserve">(unchanged vs prior year quarter; 6.4% for the nine‑month period).</w:t>
      </w:r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br/>
      </w:r>
      <w:r>
        <w:t xml:space="preserve">- Management commentary indicates total interest margin % fell from</w:t>
      </w:r>
      <w:r>
        <w:t xml:space="preserve"> </w:t>
      </w:r>
      <w:r>
        <w:rPr>
          <w:b/>
          <w:bCs/>
        </w:rPr>
        <w:t xml:space="preserve">6.6% in the prior quarter</w:t>
      </w:r>
      <w:r>
        <w:t xml:space="preserve"> </w:t>
      </w:r>
      <w:r>
        <w:t xml:space="preserve">due to removal of higher-margin receivables associated with the Q3 auto loan sale.</w:t>
      </w:r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t xml:space="preserve">For underwriting/credit mix context, CarMax disclosed in Q3 FY2026: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auto loans originated: $1.7614B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 penetration rate: 42.6%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Weighted average credit score: 723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Weighted average loan-to-value: 89.8%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Weighted average term: 68.3 months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Provision for credit losses, allowance, and loss performance</w:t>
      </w:r>
      <w:r>
        <w:t xml:space="preserve"> </w:t>
      </w:r>
      <w:r>
        <w:t xml:space="preserve">In Q3 FY2026: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Provision for loan losses: $73.4M</w:t>
      </w:r>
      <w:r>
        <w:t xml:space="preserve"> </w:t>
      </w:r>
      <w:r>
        <w:t xml:space="preserve">(Q3) and</w:t>
      </w:r>
      <w:r>
        <w:t xml:space="preserve"> </w:t>
      </w:r>
      <w:r>
        <w:rPr>
          <w:b/>
          <w:bCs/>
        </w:rPr>
        <w:t xml:space="preserve">$317.3M</w:t>
      </w:r>
      <w:r>
        <w:t xml:space="preserve"> </w:t>
      </w:r>
      <w:r>
        <w:t xml:space="preserve">(nine months), with narrative attributing nine‑month provision growth primarily to unfavorable loss performance within 2022–2023 vintages and acknowledging an offset from allowance release related to loans sold.</w:t>
      </w:r>
      <w:r>
        <w:t xml:space="preserve"> </w:t>
      </w:r>
      <w:hyperlink r:id="rId24">
        <w:r>
          <w:rPr>
            <w:rStyle w:val="Hyperlink"/>
          </w:rPr>
          <w:t xml:space="preserve">[52]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Allowance for loan losses: $474.8M</w:t>
      </w:r>
      <w:r>
        <w:t xml:space="preserve">,</w:t>
      </w:r>
      <w:r>
        <w:t xml:space="preserve"> </w:t>
      </w:r>
      <w:r>
        <w:rPr>
          <w:b/>
          <w:bCs/>
        </w:rPr>
        <w:t xml:space="preserve">2.87%</w:t>
      </w:r>
      <w:r>
        <w:t xml:space="preserve"> </w:t>
      </w:r>
      <w:r>
        <w:t xml:space="preserve">of ending auto loans held for investment (vs 2.70% prior year quarter).</w:t>
      </w:r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 credit losses: $105.9M</w:t>
      </w:r>
      <w:r>
        <w:t xml:space="preserve"> </w:t>
      </w:r>
      <w:r>
        <w:t xml:space="preserve">in the quarter;</w:t>
      </w:r>
      <w:r>
        <w:t xml:space="preserve"> </w:t>
      </w:r>
      <w:r>
        <w:rPr>
          <w:b/>
          <w:bCs/>
        </w:rPr>
        <w:t xml:space="preserve">annualized net credit losses: 2.54%</w:t>
      </w:r>
      <w:r>
        <w:t xml:space="preserve"> </w:t>
      </w:r>
      <w:r>
        <w:t xml:space="preserve">of average auto loans held for investment;</w:t>
      </w:r>
      <w:r>
        <w:t xml:space="preserve"> </w:t>
      </w:r>
      <w:r>
        <w:rPr>
          <w:b/>
          <w:bCs/>
        </w:rPr>
        <w:t xml:space="preserve">past due accounts: 5.43%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t xml:space="preserve">For trend context, CarMax’s prior-quarter (Q2 FY2026) earnings materials showed a materially higher</w:t>
      </w:r>
      <w:r>
        <w:t xml:space="preserve"> </w:t>
      </w:r>
      <w:r>
        <w:rPr>
          <w:b/>
          <w:bCs/>
        </w:rPr>
        <w:t xml:space="preserve">$142.2M</w:t>
      </w:r>
      <w:r>
        <w:t xml:space="preserve"> </w:t>
      </w:r>
      <w:r>
        <w:t xml:space="preserve">provision for loan losses and explicitly tied that quarter’s provision to a large increase in estimated lifetime losses on existing loans (vintage performance issues), providing important context that Q3’s provision level was comparatively lower and described as in line with expectations.</w:t>
      </w:r>
      <w:r>
        <w:t xml:space="preserve"> </w:t>
      </w:r>
      <w:hyperlink r:id="rId34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One-time / structural item affecting CAF comparability</w:t>
      </w:r>
      <w:r>
        <w:t xml:space="preserve"> </w:t>
      </w:r>
      <w:r>
        <w:t xml:space="preserve">CarMax executed a non-prime securitization designed for off-balance-sheet treatment in Q3 FY2026:</w:t>
      </w:r>
      <w:r>
        <w:t xml:space="preserve"> </w:t>
      </w:r>
      <w:r>
        <w:t xml:space="preserve">- Sold approximately</w:t>
      </w:r>
      <w:r>
        <w:t xml:space="preserve"> </w:t>
      </w:r>
      <w:r>
        <w:rPr>
          <w:b/>
          <w:bCs/>
        </w:rPr>
        <w:t xml:space="preserve">$930M</w:t>
      </w:r>
      <w:r>
        <w:t xml:space="preserve"> </w:t>
      </w:r>
      <w:r>
        <w:t xml:space="preserve">of auto loans (inclusive of accrued interest) and recognized a</w:t>
      </w:r>
      <w:r>
        <w:t xml:space="preserve"> </w:t>
      </w:r>
      <w:r>
        <w:rPr>
          <w:b/>
          <w:bCs/>
        </w:rPr>
        <w:t xml:space="preserve">$27.0M gain on sale</w:t>
      </w:r>
      <w:r>
        <w:t xml:space="preserve"> </w:t>
      </w:r>
      <w:r>
        <w:t xml:space="preserve">(net of transaction expenses).</w:t>
      </w:r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  <w:r>
        <w:br/>
      </w:r>
      <w:r>
        <w:t xml:space="preserve">- Expected</w:t>
      </w:r>
      <w:r>
        <w:t xml:space="preserve"> </w:t>
      </w:r>
      <w:r>
        <w:rPr>
          <w:b/>
          <w:bCs/>
        </w:rPr>
        <w:t xml:space="preserve">$40M–$45M</w:t>
      </w:r>
      <w:r>
        <w:t xml:space="preserve"> </w:t>
      </w:r>
      <w:r>
        <w:t xml:space="preserve">of additional CAF income over the life of the transaction related to servicing fees and retained beneficial interest.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This transaction also drove a decline in average auto loans outstanding and interest margin dollars, offset by the gain-on-sale within CAF income.</w:t>
      </w:r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</w:p>
    <w:bookmarkEnd w:id="35"/>
    <w:bookmarkEnd w:id="36"/>
    <w:bookmarkStart w:id="39" w:name="comparative-analysis-and-conclusion"/>
    <w:p>
      <w:pPr>
        <w:pStyle w:val="Heading2"/>
      </w:pPr>
      <w:r>
        <w:t xml:space="preserve">Comparative analysis and conclusion</w:t>
      </w:r>
    </w:p>
    <w:bookmarkStart w:id="37" w:name="concise-comparative-table-of-key-metrics"/>
    <w:p>
      <w:pPr>
        <w:pStyle w:val="Heading3"/>
      </w:pPr>
      <w:r>
        <w:t xml:space="preserve">Concise comparative table of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Carvana (Q4 2025, quarter ended 2025-12-31; reported 2026-02-18)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CarMax (Q3 FY2026, quarter ended 2025-11-30; reported 2025-12-18)</w:t>
            </w:r>
          </w:p>
        </w:tc>
        <w:tc>
          <w:tcPr/>
          <w:p>
            <w:pPr>
              <w:pStyle w:val="Compact"/>
            </w:pPr>
            <w:r>
              <w:t xml:space="preserve">Comparability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/ net sales &amp; operating revenues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$5.603B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$5.793946B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Different business mixes and fiscal calendars.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$1.051B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$590.048M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CarMax reports CAF income separately from gross profit.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~18.8%</w:t>
            </w:r>
            <w:r>
              <w:t xml:space="preserve"> </w:t>
            </w:r>
            <w:r>
              <w:t xml:space="preserve">(computed: 1.051 ÷ 5.603)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10.2%</w:t>
            </w:r>
            <w:r>
              <w:t xml:space="preserve"> </w:t>
            </w:r>
            <w:r>
              <w:t xml:space="preserve">(reported)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Carvana’s “other sales” are 100% gross margin; CarMax’s finance contribution sits below gross profit as CAF income.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7.6%</w:t>
            </w:r>
            <w:r>
              <w:t xml:space="preserve"> </w:t>
            </w:r>
            <w:r>
              <w:t xml:space="preserve">(GAAP)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Not separately disclosed in the income statement excerpt;</w:t>
            </w:r>
            <w:r>
              <w:t xml:space="preserve"> </w:t>
            </w:r>
            <w:r>
              <w:rPr>
                <w:b/>
                <w:bCs/>
              </w:rPr>
              <w:t xml:space="preserve">EBT margin 1.4%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Structure differs; CarMax expense mix includes large SG&amp;A base vs gross profit.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Net income / net earnings margin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17.0%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1.1%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Carvana margin materially boosted by disclosed non-cash tax-related items.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Retail units sold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163,522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Retail used units: 169,557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 definitions differ (Carvana: retail units; CarMax: retail used units).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Per-car gross profit (retail)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Retail gross profit per retail unit: $2,990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Retail gross profit per used unit: $2,235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Most comparable per-unit metric across the two, but still impacted by business model mix and accounting definitions.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Company-wide gross profit per “car”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gross profit per retail unit (Total GPU): $6,427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Not reported as a single “GPU” metric; CarMax uses gross profit plus separate CAF income.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Carvana’s GPU embeds “other” gross profit (loan sales + products); CarMax finance economics are mostly below gross profit in CAF income.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“Financing revenue” / finance segment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Other sales &amp; revenues: $459M</w:t>
            </w:r>
            <w:r>
              <w:t xml:space="preserve"> </w:t>
            </w:r>
            <w:r>
              <w:t xml:space="preserve">(Q4); FY gain on loan sales</w:t>
            </w:r>
            <w:r>
              <w:t xml:space="preserve"> </w:t>
            </w:r>
            <w:r>
              <w:rPr>
                <w:b/>
                <w:bCs/>
              </w:rPr>
              <w:t xml:space="preserve">$1.2B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CAF income: $174.7M</w:t>
            </w:r>
            <w:r>
              <w:t xml:space="preserve">; includes</w:t>
            </w:r>
            <w:r>
              <w:t xml:space="preserve"> </w:t>
            </w:r>
            <w:r>
              <w:rPr>
                <w:b/>
                <w:bCs/>
              </w:rPr>
              <w:t xml:space="preserve">$27.0M gain on sale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$5.0M servicing income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Carvana: gain-on-sale heavy; CarMax: net interest margin over time + some gain-on-sale in Q3.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Interest income (auto loans)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in “other sales and revenues” while loans held for sale; not separately itemized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Interest &amp; fee income: $448.0M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interest expense: $188.3M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CarMax provides full net interest bridge; Carvana blends interest-with-loans-held-for-sale into “other sales.”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Net finance receivables (period-end)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Finance receivables held for sale, net: $813M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Auto loans held for investment, net: $16.151B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Scale and accounting differ: Carvana holds loans briefly for sale; CarMax retains a large on-balance-sheet portfolio.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“Yield”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disclosed as a portfolio yield metric in the cited disclosures; Carvana emphasizes loan sale spreads and GPU drivers qualitatively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Weighted avg contract rate: 11.0%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total interest margin %: 6.2%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CarMax’s metrics are directly comparable quarter-to-quarter; Carvana’s economics flow through loan sale pricing/spreads and GPU.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Valuation allowance on finance receivables held for sale: $28M</w:t>
            </w:r>
            <w:r>
              <w:t xml:space="preserve">; “provision for bad debt &amp; valuation allowance” FY</w:t>
            </w:r>
            <w:r>
              <w:t xml:space="preserve"> </w:t>
            </w:r>
            <w:r>
              <w:rPr>
                <w:b/>
                <w:bCs/>
              </w:rPr>
              <w:t xml:space="preserve">$15M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Provision for loan losses: $73.4M</w:t>
            </w:r>
            <w:r>
              <w:t xml:space="preserve">; allowance</w:t>
            </w:r>
            <w:r>
              <w:t xml:space="preserve"> </w:t>
            </w:r>
            <w:r>
              <w:rPr>
                <w:b/>
                <w:bCs/>
              </w:rPr>
              <w:t xml:space="preserve">$474.8M (2.87%)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Different credit accounting: held-for-sale valuation allowance vs held-for-investment allowance/provision framework.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[71]</w:t>
              </w:r>
            </w:hyperlink>
          </w:p>
        </w:tc>
      </w:tr>
    </w:tbl>
    <w:bookmarkEnd w:id="37"/>
    <w:bookmarkStart w:id="38" w:name="analytical-conclusion"/>
    <w:p>
      <w:pPr>
        <w:pStyle w:val="Heading3"/>
      </w:pPr>
      <w:r>
        <w:t xml:space="preserve">Analytical conclusion</w:t>
      </w:r>
    </w:p>
    <w:p>
      <w:pPr>
        <w:pStyle w:val="FirstParagraph"/>
      </w:pPr>
      <w:r>
        <w:t xml:space="preserve">Carvana and CarMax can both present “per-car profit” figures in the same rough magnitude at the</w:t>
      </w:r>
      <w:r>
        <w:t xml:space="preserve"> </w:t>
      </w:r>
      <w:r>
        <w:rPr>
          <w:b/>
          <w:bCs/>
        </w:rPr>
        <w:t xml:space="preserve">retail gross profit per unit</w:t>
      </w:r>
      <w:r>
        <w:t xml:space="preserve"> </w:t>
      </w:r>
      <w:r>
        <w:t xml:space="preserve">layer (Carvana retail GPU</w:t>
      </w:r>
      <w:r>
        <w:t xml:space="preserve"> </w:t>
      </w:r>
      <w:r>
        <w:rPr>
          <w:b/>
          <w:bCs/>
        </w:rPr>
        <w:t xml:space="preserve">$2,990</w:t>
      </w:r>
      <w:r>
        <w:t xml:space="preserve"> </w:t>
      </w:r>
      <w:r>
        <w:t xml:space="preserve">vs CarMax retail GPU</w:t>
      </w:r>
      <w:r>
        <w:t xml:space="preserve"> </w:t>
      </w:r>
      <w:r>
        <w:rPr>
          <w:b/>
          <w:bCs/>
        </w:rPr>
        <w:t xml:space="preserve">$2,235</w:t>
      </w:r>
      <w:r>
        <w:t xml:space="preserve"> </w:t>
      </w:r>
      <w:r>
        <w:t xml:space="preserve">in their most recent quarters), but the companies’ consolidated profitability diverges sharply once financing accounting and “other” revenue streams are considered.</w:t>
      </w:r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Carvana’s consolidated margins and “Total GPU” are amplified by a large “other” gross profit stream that includes loan-sale gains and other high-margin ancillary revenue; in Q4 2025, “other sales and revenues” was</w:t>
      </w:r>
      <w:r>
        <w:t xml:space="preserve"> </w:t>
      </w:r>
      <w:r>
        <w:rPr>
          <w:b/>
          <w:bCs/>
        </w:rPr>
        <w:t xml:space="preserve">$459M</w:t>
      </w:r>
      <w:r>
        <w:t xml:space="preserve"> </w:t>
      </w:r>
      <w:r>
        <w:t xml:space="preserve">and total GPU was</w:t>
      </w:r>
      <w:r>
        <w:t xml:space="preserve"> </w:t>
      </w:r>
      <w:r>
        <w:rPr>
          <w:b/>
          <w:bCs/>
        </w:rPr>
        <w:t xml:space="preserve">$6,427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This model is economically sensitive to loan sale spreads, capital market demand for whole loans/ABS, and execution in reconditioning and depreciation management—factors management explicitly linked to Q4’s Retail GPU shortfall.</w:t>
      </w:r>
      <w:r>
        <w:t xml:space="preserve"> </w:t>
      </w:r>
      <w:hyperlink r:id="rId23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Carvana’s reported net income margin in Q4 2025 (</w:t>
      </w:r>
      <w:r>
        <w:rPr>
          <w:b/>
          <w:bCs/>
        </w:rPr>
        <w:t xml:space="preserve">17.0%</w:t>
      </w:r>
      <w:r>
        <w:t xml:space="preserve">) is not a clean indicator of sustainable operating power because management disclosed a major positive non-cash net income impact from tax valuation allowance release/TRA accounting and an offsetting warrant fair value impact.</w:t>
      </w:r>
      <w:r>
        <w:t xml:space="preserve"> </w:t>
      </w:r>
      <w:hyperlink r:id="rId23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CarMax’s results show a more traditional retailer + lender structure: gross profit is relatively stable as a percent of revenue (10.2% in the quarter), while the finance segment contributes meaningfully via net interest economics.</w:t>
      </w:r>
      <w:r>
        <w:t xml:space="preserve"> </w:t>
      </w:r>
      <w:hyperlink r:id="rId24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The most decision-useful finance indicators are explicitly disclosed each quarter—contract rate (</w:t>
      </w:r>
      <w:r>
        <w:rPr>
          <w:b/>
          <w:bCs/>
        </w:rPr>
        <w:t xml:space="preserve">11.0%</w:t>
      </w:r>
      <w:r>
        <w:t xml:space="preserve">), portfolio spread (</w:t>
      </w:r>
      <w:r>
        <w:rPr>
          <w:b/>
          <w:bCs/>
        </w:rPr>
        <w:t xml:space="preserve">6.2% total interest margin %</w:t>
      </w:r>
      <w:r>
        <w:t xml:space="preserve">), credit costs (</w:t>
      </w:r>
      <w:r>
        <w:rPr>
          <w:b/>
          <w:bCs/>
        </w:rPr>
        <w:t xml:space="preserve">$73.4M provision</w:t>
      </w:r>
      <w:r>
        <w:t xml:space="preserve">,</w:t>
      </w:r>
      <w:r>
        <w:t xml:space="preserve"> </w:t>
      </w:r>
      <w:r>
        <w:rPr>
          <w:b/>
          <w:bCs/>
        </w:rPr>
        <w:t xml:space="preserve">2.87% allowance ratio</w:t>
      </w:r>
      <w:r>
        <w:t xml:space="preserve">,</w:t>
      </w:r>
      <w:r>
        <w:t xml:space="preserve"> </w:t>
      </w:r>
      <w:r>
        <w:rPr>
          <w:b/>
          <w:bCs/>
        </w:rPr>
        <w:t xml:space="preserve">2.54% annualized net credit losses</w:t>
      </w:r>
      <w:r>
        <w:t xml:space="preserve">)—enabling clearer trend attribution than Carvana’s more blended “other sales” category.</w:t>
      </w:r>
      <w:r>
        <w:t xml:space="preserve"> </w:t>
      </w:r>
      <w:hyperlink r:id="rId24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However, CarMax’s quarter also highlights meaningful near-term comparability risks: a structured non-prime loan sale created a</w:t>
      </w:r>
      <w:r>
        <w:t xml:space="preserve"> </w:t>
      </w:r>
      <w:r>
        <w:rPr>
          <w:b/>
          <w:bCs/>
        </w:rPr>
        <w:t xml:space="preserve">$27.0M gain</w:t>
      </w:r>
      <w:r>
        <w:t xml:space="preserve"> </w:t>
      </w:r>
      <w:r>
        <w:t xml:space="preserve">and shifted loans off balance sheet, and management signaled it may intentionally compress next-quarter retail margins to improve competitiveness, complicating straight-line margin comparisons.</w:t>
      </w:r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</w:p>
    <w:bookmarkEnd w:id="38"/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[69]</w:t>
        </w:r>
      </w:hyperlink>
      <w:r>
        <w:t xml:space="preserve"> </w:t>
      </w:r>
      <w:hyperlink r:id="rId21">
        <w:r>
          <w:rPr>
            <w:rStyle w:val="Hyperlink"/>
          </w:rPr>
          <w:t xml:space="preserve">[71]</w:t>
        </w:r>
      </w:hyperlink>
      <w:r>
        <w:t xml:space="preserve"> </w:t>
      </w:r>
      <w:hyperlink r:id="rId21">
        <w:r>
          <w:rPr>
            <w:rStyle w:val="Hyperlink"/>
          </w:rPr>
          <w:t xml:space="preserve">[72]</w:t>
        </w:r>
      </w:hyperlink>
      <w:r>
        <w:t xml:space="preserve"> </w:t>
      </w:r>
      <w:hyperlink r:id="rId21">
        <w:r>
          <w:rPr>
            <w:rStyle w:val="Hyperlink"/>
          </w:rPr>
          <w:t xml:space="preserve">[73]</w:t>
        </w:r>
      </w:hyperlink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https://www.sec.gov/Archives/edgar/data/0001690820/000169082026000009/cvna-20251231.htm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https://www.sec.gov/Archives/edgar/data/0001690820/000169082026000009/cvna-20251231.htm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 </w:t>
      </w:r>
      <w:r>
        <w:t xml:space="preserve">Carvana Announces Record Fourth Quarter and Full Year 2025 Results | Carvana</w:t>
      </w:r>
      <w:r>
        <w:t xml:space="preserve"> </w:t>
      </w:r>
    </w:p>
    <w:p>
      <w:pPr>
        <w:pStyle w:val="BodyText"/>
      </w:pPr>
      <w:hyperlink r:id="rId22">
        <w:r>
          <w:rPr>
            <w:rStyle w:val="Hyperlink"/>
          </w:rPr>
          <w:t xml:space="preserve">https://investors.carvana.com/news-releases/2026/02-18-2026-210513817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[48]</w:t>
        </w:r>
      </w:hyperlink>
      <w:r>
        <w:t xml:space="preserve"> </w:t>
      </w:r>
      <w:hyperlink r:id="rId23">
        <w:r>
          <w:rPr>
            <w:rStyle w:val="Hyperlink"/>
          </w:rPr>
          <w:t xml:space="preserve">[65]</w:t>
        </w:r>
      </w:hyperlink>
      <w:r>
        <w:t xml:space="preserve"> </w:t>
      </w:r>
      <w:hyperlink r:id="rId23">
        <w:r>
          <w:rPr>
            <w:rStyle w:val="Hyperlink"/>
          </w:rPr>
          <w:t xml:space="preserve">[66]</w:t>
        </w:r>
      </w:hyperlink>
      <w:r>
        <w:t xml:space="preserve"> </w:t>
      </w:r>
      <w:hyperlink r:id="rId23">
        <w:r>
          <w:rPr>
            <w:rStyle w:val="Hyperlink"/>
          </w:rPr>
          <w:t xml:space="preserve">[67]</w:t>
        </w:r>
      </w:hyperlink>
      <w:r>
        <w:t xml:space="preserve"> </w:t>
      </w:r>
      <w:hyperlink r:id="rId23">
        <w:r>
          <w:rPr>
            <w:rStyle w:val="Hyperlink"/>
          </w:rPr>
          <w:t xml:space="preserve">[70]</w:t>
        </w:r>
      </w:hyperlink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hyperlink r:id="rId23">
        <w:r>
          <w:rPr>
            <w:rStyle w:val="Hyperlink"/>
          </w:rPr>
          <w:t xml:space="preserve">[77]</w:t>
        </w:r>
      </w:hyperlink>
      <w:r>
        <w:t xml:space="preserve"> </w:t>
      </w:r>
      <w:hyperlink r:id="rId23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https://www.sec.gov/Archives/edgar/data/1690820/000169082026000008/a9918-k123125.htm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https://www.sec.gov/Archives/edgar/data/1690820/000169082026000008/a9918-k123125.htm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[52]</w:t>
        </w:r>
      </w:hyperlink>
      <w:r>
        <w:t xml:space="preserve"> </w:t>
      </w:r>
      <w:hyperlink r:id="rId24">
        <w:r>
          <w:rPr>
            <w:rStyle w:val="Hyperlink"/>
          </w:rPr>
          <w:t xml:space="preserve">[53]</w:t>
        </w:r>
      </w:hyperlink>
      <w:r>
        <w:t xml:space="preserve"> </w:t>
      </w:r>
      <w:hyperlink r:id="rId24">
        <w:r>
          <w:rPr>
            <w:rStyle w:val="Hyperlink"/>
          </w:rPr>
          <w:t xml:space="preserve">[54]</w:t>
        </w:r>
      </w:hyperlink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  <w:r>
        <w:t xml:space="preserve"> </w:t>
      </w:r>
      <w:hyperlink r:id="rId24">
        <w:r>
          <w:rPr>
            <w:rStyle w:val="Hyperlink"/>
          </w:rPr>
          <w:t xml:space="preserve">[61]</w:t>
        </w:r>
      </w:hyperlink>
      <w:r>
        <w:t xml:space="preserve"> </w:t>
      </w:r>
      <w:hyperlink r:id="rId24">
        <w:r>
          <w:rPr>
            <w:rStyle w:val="Hyperlink"/>
          </w:rPr>
          <w:t xml:space="preserve">[62]</w:t>
        </w:r>
      </w:hyperlink>
      <w:r>
        <w:t xml:space="preserve"> </w:t>
      </w:r>
      <w:hyperlink r:id="rId24">
        <w:r>
          <w:rPr>
            <w:rStyle w:val="Hyperlink"/>
          </w:rPr>
          <w:t xml:space="preserve">[68]</w:t>
        </w:r>
      </w:hyperlink>
      <w:r>
        <w:t xml:space="preserve"> </w:t>
      </w:r>
      <w:hyperlink r:id="rId24">
        <w:r>
          <w:rPr>
            <w:rStyle w:val="Hyperlink"/>
          </w:rPr>
          <w:t xml:space="preserve">[79]</w:t>
        </w:r>
      </w:hyperlink>
      <w:r>
        <w:t xml:space="preserve"> </w:t>
      </w:r>
      <w:hyperlink r:id="rId24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https://www.sec.gov/Archives/edgar/data/1170010/000117001025000131/kmx-20251130.htm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https://www.sec.gov/Archives/edgar/data/1170010/000117001025000131/kmx-20251130.htm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hyperlink r:id="rId25">
        <w:r>
          <w:rPr>
            <w:rStyle w:val="Hyperlink"/>
          </w:rPr>
          <w:t xml:space="preserve">[50]</w:t>
        </w:r>
      </w:hyperlink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hyperlink r:id="rId25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https://investors.carmax.com/news-and-events/news/news-details/2025/CarMax-Reports-Third-Quarter-Fiscal-Year-2026-Results/default.aspx</w:t>
      </w:r>
    </w:p>
    <w:p>
      <w:pPr>
        <w:pStyle w:val="BodyText"/>
      </w:pPr>
      <w:hyperlink r:id="rId25">
        <w:r>
          <w:rPr>
            <w:rStyle w:val="Hyperlink"/>
          </w:rPr>
          <w:t xml:space="preserve">https://investors.carmax.com/news-and-events/news/news-details/2025/CarMax-Reports-Third-Quarter-Fiscal-Year-2026-Results/default.aspx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Document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https://www.sec.gov/Archives/edgar/data/1170010/000117001025000115/q2fy26earningsrelease.htm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investors.carmax.com/news-and-events/news/news-details/2025/CarMax-Reports-Third-Quarter-Fiscal-Year-2026-Results/default.aspx" TargetMode="External" /><Relationship Type="http://schemas.openxmlformats.org/officeDocument/2006/relationships/hyperlink" Id="rId22" Target="https://investors.carvana.com/news-releases/2026/02-18-2026-210513817" TargetMode="External" /><Relationship Type="http://schemas.openxmlformats.org/officeDocument/2006/relationships/hyperlink" Id="rId21" Target="https://www.sec.gov/Archives/edgar/data/0001690820/000169082026000009/cvna-20251231.htm" TargetMode="External" /><Relationship Type="http://schemas.openxmlformats.org/officeDocument/2006/relationships/hyperlink" Id="rId34" Target="https://www.sec.gov/Archives/edgar/data/1170010/000117001025000115/q2fy26earningsrelease.htm" TargetMode="External" /><Relationship Type="http://schemas.openxmlformats.org/officeDocument/2006/relationships/hyperlink" Id="rId24" Target="https://www.sec.gov/Archives/edgar/data/1170010/000117001025000131/kmx-20251130.htm" TargetMode="External" /><Relationship Type="http://schemas.openxmlformats.org/officeDocument/2006/relationships/hyperlink" Id="rId23" Target="https://www.sec.gov/Archives/edgar/data/1690820/000169082026000008/a9918-k123125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investors.carmax.com/news-and-events/news/news-details/2025/CarMax-Reports-Third-Quarter-Fiscal-Year-2026-Results/default.aspx" TargetMode="External" /><Relationship Type="http://schemas.openxmlformats.org/officeDocument/2006/relationships/hyperlink" Id="rId22" Target="https://investors.carvana.com/news-releases/2026/02-18-2026-210513817" TargetMode="External" /><Relationship Type="http://schemas.openxmlformats.org/officeDocument/2006/relationships/hyperlink" Id="rId21" Target="https://www.sec.gov/Archives/edgar/data/0001690820/000169082026000009/cvna-20251231.htm" TargetMode="External" /><Relationship Type="http://schemas.openxmlformats.org/officeDocument/2006/relationships/hyperlink" Id="rId34" Target="https://www.sec.gov/Archives/edgar/data/1170010/000117001025000115/q2fy26earningsrelease.htm" TargetMode="External" /><Relationship Type="http://schemas.openxmlformats.org/officeDocument/2006/relationships/hyperlink" Id="rId24" Target="https://www.sec.gov/Archives/edgar/data/1170010/000117001025000131/kmx-20251130.htm" TargetMode="External" /><Relationship Type="http://schemas.openxmlformats.org/officeDocument/2006/relationships/hyperlink" Id="rId23" Target="https://www.sec.gov/Archives/edgar/data/1690820/000169082026000008/a9918-k123125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2026-02-24T14:08:24Z</dcterms:created>
  <dcterms:modified xsi:type="dcterms:W3CDTF">2026-02-24T14:08:24Z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