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673dba5fcbb1677caaf9b83e61a03dc68f27172"/>
    <w:p>
      <w:pPr>
        <w:pStyle w:val="Heading1"/>
      </w:pPr>
      <w:r>
        <w:t xml:space="preserve">Carvana Loan-Sale Gains and “Total GPU” in Q4 and FY 2025: Mechanics, Plausibility, and Comparison to CarMax</w:t>
      </w:r>
    </w:p>
    <w:bookmarkStart w:id="26" w:name="executive-summary"/>
    <w:p>
      <w:pPr>
        <w:pStyle w:val="Heading2"/>
      </w:pPr>
      <w:r>
        <w:t xml:space="preserve">Executive summary</w:t>
      </w:r>
    </w:p>
    <w:p>
      <w:pPr>
        <w:pStyle w:val="FirstParagraph"/>
      </w:pPr>
      <w:r>
        <w:t xml:space="preserve">Carvana’s Q4 2025 and FY 2025 “Total gross profit per unit (GPU)” is heavily influenced by “Other sales and revenues,” a 100% gross-margin bucket that includes gain on auto-loan sales and ancillary product commissions. In FY 2025, Carvana reported</w:t>
      </w:r>
      <w:r>
        <w:t xml:space="preserve"> </w:t>
      </w:r>
      <w:r>
        <w:rPr>
          <w:b/>
          <w:bCs/>
        </w:rPr>
        <w:t xml:space="preserve">$1.733B</w:t>
      </w:r>
      <w:r>
        <w:t xml:space="preserve"> </w:t>
      </w:r>
      <w:r>
        <w:t xml:space="preserve">of “Other sales and revenues” (and identically</w:t>
      </w:r>
      <w:r>
        <w:t xml:space="preserve"> </w:t>
      </w:r>
      <w:r>
        <w:rPr>
          <w:b/>
          <w:bCs/>
        </w:rPr>
        <w:t xml:space="preserve">$1.733B</w:t>
      </w:r>
      <w:r>
        <w:t xml:space="preserve"> </w:t>
      </w:r>
      <w:r>
        <w:t xml:space="preserve">of “Other gross profit”).</w:t>
      </w:r>
      <w:r>
        <w:t xml:space="preserve"> </w:t>
      </w:r>
      <w:hyperlink r:id="rId21">
        <w:r>
          <w:rPr>
            <w:rStyle w:val="Hyperlink"/>
          </w:rPr>
          <w:t xml:space="preserve">[1]</w:t>
        </w:r>
      </w:hyperlink>
      <w:r>
        <w:t xml:space="preserve"> </w:t>
      </w:r>
      <w:r>
        <w:t xml:space="preserve">Management discloses that “Other sales and revenues” primarily includes (among other items) gain on selling originated finance receivables, and that these products are 100% gross margin (gross profit equals revenue).</w:t>
      </w:r>
      <w:r>
        <w:t xml:space="preserve"> </w:t>
      </w:r>
      <w:hyperlink r:id="rId21">
        <w:r>
          <w:rPr>
            <w:rStyle w:val="Hyperlink"/>
          </w:rPr>
          <w:t xml:space="preserve">[2]</w:t>
        </w:r>
      </w:hyperlink>
    </w:p>
    <w:p>
      <w:pPr>
        <w:pStyle w:val="BodyText"/>
      </w:pPr>
      <w:r>
        <w:t xml:space="preserve">A key fact for your question: Carvana’s FY 2025 Form 10‑K reports</w:t>
      </w:r>
      <w:r>
        <w:t xml:space="preserve"> </w:t>
      </w:r>
      <w:r>
        <w:rPr>
          <w:b/>
          <w:bCs/>
        </w:rPr>
        <w:t xml:space="preserve">$1.2B</w:t>
      </w:r>
      <w:r>
        <w:t xml:space="preserve"> </w:t>
      </w:r>
      <w:r>
        <w:t xml:space="preserve">of total gain on finance receivables sold (to financing partners and via securitizations), which is included in “Other sales and revenues.”</w:t>
      </w:r>
      <w:r>
        <w:t xml:space="preserve"> </w:t>
      </w:r>
      <w:hyperlink r:id="rId21">
        <w:r>
          <w:rPr>
            <w:rStyle w:val="Hyperlink"/>
          </w:rPr>
          <w:t xml:space="preserve">[3]</w:t>
        </w:r>
      </w:hyperlink>
      <w:r>
        <w:t xml:space="preserve"> </w:t>
      </w:r>
      <w:r>
        <w:t xml:space="preserve">Relative to FY 2025 retail units of</w:t>
      </w:r>
      <w:r>
        <w:t xml:space="preserve"> </w:t>
      </w:r>
      <w:r>
        <w:rPr>
          <w:b/>
          <w:bCs/>
        </w:rPr>
        <w:t xml:space="preserve">596,641</w:t>
      </w:r>
      <w:r>
        <w:t xml:space="preserve">, that implies an</w:t>
      </w:r>
      <w:r>
        <w:t xml:space="preserve"> </w:t>
      </w:r>
      <w:r>
        <w:rPr>
          <w:b/>
          <w:bCs/>
        </w:rPr>
        <w:t xml:space="preserve">approx. $2,011 gain per retail unit</w:t>
      </w:r>
      <w:r>
        <w:t xml:space="preserve"> </w:t>
      </w:r>
      <w:r>
        <w:t xml:space="preserve">(calculation shown below).</w:t>
      </w:r>
      <w:r>
        <w:t xml:space="preserve"> </w:t>
      </w:r>
      <w:hyperlink r:id="rId22">
        <w:r>
          <w:rPr>
            <w:rStyle w:val="Hyperlink"/>
          </w:rPr>
          <w:t xml:space="preserve">[4]</w:t>
        </w:r>
      </w:hyperlink>
      <w:r>
        <w:t xml:space="preserve"> </w:t>
      </w:r>
      <w:r>
        <w:t xml:space="preserve">Since Carvana’s FY 2025 “Other gross profit per retail unit” was</w:t>
      </w:r>
      <w:r>
        <w:t xml:space="preserve"> </w:t>
      </w:r>
      <w:r>
        <w:rPr>
          <w:b/>
          <w:bCs/>
        </w:rPr>
        <w:t xml:space="preserve">$2,905</w:t>
      </w:r>
      <w:r>
        <w:t xml:space="preserve">, this simple scaling implies that</w:t>
      </w:r>
      <w:r>
        <w:t xml:space="preserve"> </w:t>
      </w:r>
      <w:r>
        <w:rPr>
          <w:b/>
          <w:bCs/>
        </w:rPr>
        <w:t xml:space="preserve">~69% of “Other GPU”</w:t>
      </w:r>
      <w:r>
        <w:t xml:space="preserve"> </w:t>
      </w:r>
      <w:r>
        <w:t xml:space="preserve">(and ~29% of Total GPU) can be associated with loan-sale gains at the annual level—before considering quarter-to-quarter mix shifts.</w:t>
      </w:r>
      <w:r>
        <w:t xml:space="preserve"> </w:t>
      </w:r>
      <w:hyperlink r:id="rId22">
        <w:r>
          <w:rPr>
            <w:rStyle w:val="Hyperlink"/>
          </w:rPr>
          <w:t xml:space="preserve">[4]</w:t>
        </w:r>
      </w:hyperlink>
    </w:p>
    <w:p>
      <w:pPr>
        <w:pStyle w:val="BodyText"/>
      </w:pPr>
      <w:r>
        <w:t xml:space="preserve">Is it</w:t>
      </w:r>
      <w:r>
        <w:t xml:space="preserve"> </w:t>
      </w:r>
      <w:r>
        <w:rPr>
          <w:i/>
          <w:iCs/>
        </w:rPr>
        <w:t xml:space="preserve">suspicious</w:t>
      </w:r>
      <w:r>
        <w:t xml:space="preserve">? The level is</w:t>
      </w:r>
      <w:r>
        <w:t xml:space="preserve"> </w:t>
      </w:r>
      <w:r>
        <w:rPr>
          <w:b/>
          <w:bCs/>
        </w:rPr>
        <w:t xml:space="preserve">high and worth scrutiny</w:t>
      </w:r>
      <w:r>
        <w:t xml:space="preserve">, but the disclosures support a coherent economic story: Carvana is a high-volume loan originator that typically sells loans quickly (forward-flow, fixed pool, securitizations), often with retained “beneficial interests.”</w:t>
      </w:r>
      <w:r>
        <w:t xml:space="preserve"> </w:t>
      </w:r>
      <w:hyperlink r:id="rId21">
        <w:r>
          <w:rPr>
            <w:rStyle w:val="Hyperlink"/>
          </w:rPr>
          <w:t xml:space="preserve">[5]</w:t>
        </w:r>
      </w:hyperlink>
      <w:r>
        <w:t xml:space="preserve"> </w:t>
      </w:r>
      <w:r>
        <w:t xml:space="preserve">Under U.S. GAAP transfer accounting, gain can include not only cash but also the fair value of retained interests and servicing assets; this can make reported gains meaningfully larger than the immediate cash “premium.”</w:t>
      </w:r>
      <w:r>
        <w:t xml:space="preserve"> </w:t>
      </w:r>
      <w:hyperlink r:id="rId23">
        <w:r>
          <w:rPr>
            <w:rStyle w:val="Hyperlink"/>
          </w:rPr>
          <w:t xml:space="preserve">[6]</w:t>
        </w:r>
      </w:hyperlink>
    </w:p>
    <w:p>
      <w:pPr>
        <w:pStyle w:val="BodyText"/>
      </w:pPr>
      <w:r>
        <w:t xml:space="preserve">However, Carvana’s implied</w:t>
      </w:r>
      <w:r>
        <w:t xml:space="preserve"> </w:t>
      </w:r>
      <w:r>
        <w:rPr>
          <w:b/>
          <w:bCs/>
        </w:rPr>
        <w:t xml:space="preserve">gain rate vs. principal balance sold</w:t>
      </w:r>
      <w:r>
        <w:t xml:space="preserve"> </w:t>
      </w:r>
      <w:r>
        <w:t xml:space="preserve">is large (about</w:t>
      </w:r>
      <w:r>
        <w:t xml:space="preserve"> </w:t>
      </w:r>
      <w:r>
        <w:rPr>
          <w:b/>
          <w:bCs/>
        </w:rPr>
        <w:t xml:space="preserve">~9–10%</w:t>
      </w:r>
      <w:r>
        <w:t xml:space="preserve"> </w:t>
      </w:r>
      <w:r>
        <w:t xml:space="preserve">by simple aggregation), and materially higher than the</w:t>
      </w:r>
      <w:r>
        <w:t xml:space="preserve"> </w:t>
      </w:r>
      <w:r>
        <w:rPr>
          <w:b/>
          <w:bCs/>
        </w:rPr>
        <w:t xml:space="preserve">~3%</w:t>
      </w:r>
      <w:r>
        <w:t xml:space="preserve"> </w:t>
      </w:r>
      <w:r>
        <w:t xml:space="preserve">gain rate disclosed for CarMax’s recent $930M auto-loan sale transaction.</w:t>
      </w:r>
      <w:r>
        <w:t xml:space="preserve"> </w:t>
      </w:r>
      <w:hyperlink r:id="rId21">
        <w:r>
          <w:rPr>
            <w:rStyle w:val="Hyperlink"/>
          </w:rPr>
          <w:t xml:space="preserve">[7]</w:t>
        </w:r>
      </w:hyperlink>
      <w:r>
        <w:t xml:space="preserve"> </w:t>
      </w:r>
      <w:r>
        <w:t xml:space="preserve">This difference can be explained by (i) different customer APRs/credit mix, (ii) different “what’s in the gain” (retained interests, pricing adjustments), and (iii) different business models (Carvana originates to sell; CarMax largely originates to hold). But it also means Carvana’s GPU is</w:t>
      </w:r>
      <w:r>
        <w:t xml:space="preserve"> </w:t>
      </w:r>
      <w:r>
        <w:rPr>
          <w:b/>
          <w:bCs/>
        </w:rPr>
        <w:t xml:space="preserve">materially exposed to capital-market pricing, modeling assumptions, and credit performance</w:t>
      </w:r>
      <w:r>
        <w:t xml:space="preserve">—a risk the company explicitly flags (“We depend on the sale of automotive finance receivables for a substantial portion of our gross profit”).</w:t>
      </w:r>
      <w:r>
        <w:t xml:space="preserve"> </w:t>
      </w:r>
      <w:hyperlink r:id="rId21">
        <w:r>
          <w:rPr>
            <w:rStyle w:val="Hyperlink"/>
          </w:rPr>
          <w:t xml:space="preserve">[8]</w:t>
        </w:r>
      </w:hyperlink>
    </w:p>
    <w:p>
      <w:pPr>
        <w:pStyle w:val="BodyText"/>
      </w:pPr>
      <w:r>
        <w:t xml:space="preserve">Primary-source anchors (filings, periods, dates):</w:t>
      </w:r>
      <w:r>
        <w:t xml:space="preserve"> </w:t>
      </w:r>
      <w:r>
        <w:t xml:space="preserve">- Carvana FY 2025 Form 10‑K:</w:t>
      </w:r>
      <w:r>
        <w:t xml:space="preserve"> </w:t>
      </w:r>
      <w:r>
        <w:rPr>
          <w:b/>
          <w:bCs/>
        </w:rPr>
        <w:t xml:space="preserve">Period ended Dec 31, 2025; filed Feb 18, 2026</w:t>
      </w:r>
      <w:r>
        <w:t xml:space="preserve">.</w:t>
      </w:r>
      <w:r>
        <w:t xml:space="preserve"> </w:t>
      </w:r>
      <w:hyperlink r:id="rId24">
        <w:r>
          <w:rPr>
            <w:rStyle w:val="Hyperlink"/>
          </w:rPr>
          <w:t xml:space="preserve">[9]</w:t>
        </w:r>
      </w:hyperlink>
      <w:r>
        <w:br/>
      </w:r>
      <w:r>
        <w:t xml:space="preserve">- Carvana FY 2025 shareholder letter / earnings tables (Ex. 99.1) are furnished in connection with FY 2025 results reporting and include Q4 2025 and FY 2025 GPU tables and GAAP↔non-GAAP definitions.</w:t>
      </w:r>
      <w:r>
        <w:t xml:space="preserve"> </w:t>
      </w:r>
      <w:hyperlink r:id="rId22">
        <w:r>
          <w:rPr>
            <w:rStyle w:val="Hyperlink"/>
          </w:rPr>
          <w:t xml:space="preserve">[10]</w:t>
        </w:r>
      </w:hyperlink>
      <w:r>
        <w:br/>
      </w:r>
      <w:r>
        <w:t xml:space="preserve">- CarMax Form 10‑Q:</w:t>
      </w:r>
      <w:r>
        <w:t xml:space="preserve"> </w:t>
      </w:r>
      <w:r>
        <w:rPr>
          <w:b/>
          <w:bCs/>
        </w:rPr>
        <w:t xml:space="preserve">Quarter ended Nov 30, 2025 (Q3 fiscal 2026); filed Dec 23, 2025</w:t>
      </w:r>
      <w:r>
        <w:t xml:space="preserve">.</w:t>
      </w:r>
      <w:r>
        <w:t xml:space="preserve"> </w:t>
      </w:r>
      <w:hyperlink r:id="rId25">
        <w:r>
          <w:rPr>
            <w:rStyle w:val="Hyperlink"/>
          </w:rPr>
          <w:t xml:space="preserve">[11]</w:t>
        </w:r>
      </w:hyperlink>
    </w:p>
    <w:bookmarkEnd w:id="26"/>
    <w:bookmarkStart w:id="31" w:name="Xa0d4739e2ca180da003268dc0421c55960f34e0"/>
    <w:p>
      <w:pPr>
        <w:pStyle w:val="Heading2"/>
      </w:pPr>
      <w:r>
        <w:t xml:space="preserve">Source map and definitions used in this report</w:t>
      </w:r>
    </w:p>
    <w:bookmarkStart w:id="27" w:name="X5f5fa54ca6156d8d681c64b2fda2c4a68231dd6"/>
    <w:p>
      <w:pPr>
        <w:pStyle w:val="Heading3"/>
      </w:pPr>
      <w:r>
        <w:t xml:space="preserve">What Carvana means by Total GPU and “per retail unit” metrics</w:t>
      </w:r>
    </w:p>
    <w:p>
      <w:pPr>
        <w:pStyle w:val="FirstParagraph"/>
      </w:pPr>
      <w:r>
        <w:t xml:space="preserve">In its furnished reconciliation section, Carvana states (verbatim) that per-retail-unit non-GAAP measures “</w:t>
      </w:r>
      <w:r>
        <w:rPr>
          <w:b/>
          <w:bCs/>
        </w:rPr>
        <w:t xml:space="preserve">are the respective gross profits, non‑GAAP divided by retail vehicle unit sales</w:t>
      </w:r>
      <w:r>
        <w:t xml:space="preserve">.” (lines 739–742 of the SEC exhibit).</w:t>
      </w:r>
      <w:r>
        <w:t xml:space="preserve"> </w:t>
      </w:r>
      <w:hyperlink r:id="rId22">
        <w:r>
          <w:rPr>
            <w:rStyle w:val="Hyperlink"/>
          </w:rPr>
          <w:t xml:space="preserve">[12]</w:t>
        </w:r>
      </w:hyperlink>
    </w:p>
    <w:p>
      <w:pPr>
        <w:pStyle w:val="BodyText"/>
      </w:pPr>
      <w:r>
        <w:t xml:space="preserve">Mechanically, the GAAP “Total gross profit per retail unit” shown in Carvana’s shareholder letter tables is:</w:t>
      </w:r>
      <w:r>
        <w:t xml:space="preserve"> </w:t>
      </w:r>
      <w:r>
        <w:t xml:space="preserve">-</w:t>
      </w:r>
      <w:r>
        <w:t xml:space="preserve"> </w:t>
      </w:r>
      <w:r>
        <w:rPr>
          <w:b/>
          <w:bCs/>
        </w:rPr>
        <w:t xml:space="preserve">Total GPU (GAAP) = Total gross profit ÷ Retail vehicle unit sales</w:t>
      </w:r>
      <w:r>
        <w:t xml:space="preserve">.</w:t>
      </w:r>
      <w:r>
        <w:br/>
      </w:r>
      <w:r>
        <w:t xml:space="preserve">This is evidenced by the table presenting gross profit and retail units alongside Total GPU.</w:t>
      </w:r>
      <w:r>
        <w:t xml:space="preserve"> </w:t>
      </w:r>
      <w:hyperlink r:id="rId22">
        <w:r>
          <w:rPr>
            <w:rStyle w:val="Hyperlink"/>
          </w:rPr>
          <w:t xml:space="preserve">[13]</w:t>
        </w:r>
      </w:hyperlink>
    </w:p>
    <w:p>
      <w:pPr>
        <w:pStyle w:val="BodyText"/>
      </w:pPr>
      <w:r>
        <w:t xml:space="preserve">Carvana’s per-unit table decomposes Total GPU into (i) Retail GPU, (ii) Wholesale gross profit per retail unit, and (iii) Other gross profit per retail unit; those components sum to Total GPU.</w:t>
      </w:r>
      <w:r>
        <w:t xml:space="preserve"> </w:t>
      </w:r>
      <w:hyperlink r:id="rId22">
        <w:r>
          <w:rPr>
            <w:rStyle w:val="Hyperlink"/>
          </w:rPr>
          <w:t xml:space="preserve">[13]</w:t>
        </w:r>
      </w:hyperlink>
    </w:p>
    <w:bookmarkEnd w:id="27"/>
    <w:bookmarkStart w:id="28" w:name="X8993bcd2c0f8faf2d1ceb469e81216439454bef"/>
    <w:p>
      <w:pPr>
        <w:pStyle w:val="Heading3"/>
      </w:pPr>
      <w:r>
        <w:t xml:space="preserve">What Carvana includes in “Other sales and revenues,” and why it matters for GPU</w:t>
      </w:r>
    </w:p>
    <w:p>
      <w:pPr>
        <w:pStyle w:val="FirstParagraph"/>
      </w:pPr>
      <w:r>
        <w:t xml:space="preserve">Carvana discloses that “Other sales and revenues” primarily includes gain on loan sales and commissions on complementary products (e.g., VSCs, GAP, insurance), trends with retail units, and is 100% gross margin (gross profit equals revenue).</w:t>
      </w:r>
      <w:r>
        <w:t xml:space="preserve"> </w:t>
      </w:r>
      <w:hyperlink r:id="rId21">
        <w:r>
          <w:rPr>
            <w:rStyle w:val="Hyperlink"/>
          </w:rPr>
          <w:t xml:space="preserve">[14]</w:t>
        </w:r>
      </w:hyperlink>
    </w:p>
    <w:p>
      <w:pPr>
        <w:pStyle w:val="BodyText"/>
      </w:pPr>
      <w:r>
        <w:t xml:space="preserve">To keep verbatim quoting within limits, the four short Carvana phrases most directly tied to the mechanics are (all from the FY 2025 10‑K or its incorporated disclosures):</w:t>
      </w:r>
      <w:r>
        <w:t xml:space="preserve"> </w:t>
      </w:r>
      <w:r>
        <w:rPr>
          <w:b/>
          <w:bCs/>
        </w:rPr>
        <w:t xml:space="preserve">“gains on the sales of finance receivables,” “included in other sales and revenues,” “reduction to the gain on loan sale,”</w:t>
      </w:r>
      <w:r>
        <w:t xml:space="preserve"> </w:t>
      </w:r>
      <w:r>
        <w:t xml:space="preserve">and</w:t>
      </w:r>
      <w:r>
        <w:t xml:space="preserve"> </w:t>
      </w:r>
      <w:r>
        <w:rPr>
          <w:b/>
          <w:bCs/>
        </w:rPr>
        <w:t xml:space="preserve">“gross profit equals revenue.”</w:t>
      </w:r>
      <w:r>
        <w:t xml:space="preserve"> </w:t>
      </w:r>
      <w:hyperlink r:id="rId21">
        <w:r>
          <w:rPr>
            <w:rStyle w:val="Hyperlink"/>
          </w:rPr>
          <w:t xml:space="preserve">[15]</w:t>
        </w:r>
      </w:hyperlink>
    </w:p>
    <w:bookmarkEnd w:id="28"/>
    <w:bookmarkStart w:id="30" w:name="X4f408cdb7c99b5b44788b03a243d1f108cfe374"/>
    <w:p>
      <w:pPr>
        <w:pStyle w:val="Heading3"/>
      </w:pPr>
      <w:r>
        <w:t xml:space="preserve">CarMax comparator: what is “gain on sale of auto loans” in its latest quarter</w:t>
      </w:r>
    </w:p>
    <w:p>
      <w:pPr>
        <w:pStyle w:val="FirstParagraph"/>
      </w:pPr>
      <w:r>
        <w:t xml:space="preserve">CarMax’s latest Form 10‑Q (Q3 fiscal 2026) describes a sale of ~</w:t>
      </w:r>
      <w:r>
        <w:rPr>
          <w:b/>
          <w:bCs/>
        </w:rPr>
        <w:t xml:space="preserve">$930M</w:t>
      </w:r>
      <w:r>
        <w:t xml:space="preserve"> </w:t>
      </w:r>
      <w:r>
        <w:t xml:space="preserve">of auto loans (inclusive of accrued interest) for consideration including cash and retained beneficial interests, generating a</w:t>
      </w:r>
      <w:r>
        <w:t xml:space="preserve"> </w:t>
      </w:r>
      <w:r>
        <w:rPr>
          <w:b/>
          <w:bCs/>
        </w:rPr>
        <w:t xml:space="preserve">$27.0M</w:t>
      </w:r>
      <w:r>
        <w:t xml:space="preserve"> </w:t>
      </w:r>
      <w:r>
        <w:t xml:space="preserve">gain (net of transaction expenses).</w:t>
      </w:r>
      <w:r>
        <w:t xml:space="preserve"> </w:t>
      </w:r>
      <w:hyperlink r:id="rId29">
        <w:r>
          <w:rPr>
            <w:rStyle w:val="Hyperlink"/>
          </w:rPr>
          <w:t xml:space="preserve">[16]</w:t>
        </w:r>
      </w:hyperlink>
      <w:r>
        <w:t xml:space="preserve"> </w:t>
      </w:r>
      <w:r>
        <w:t xml:space="preserve">The same 10‑Q explains that CarMax Auto Finance (CAF) income is driven by interest/fee income less funding costs, provision, and expenses.</w:t>
      </w:r>
      <w:r>
        <w:t xml:space="preserve"> </w:t>
      </w:r>
      <w:hyperlink r:id="rId29">
        <w:r>
          <w:rPr>
            <w:rStyle w:val="Hyperlink"/>
          </w:rPr>
          <w:t xml:space="preserve">[17]</w:t>
        </w:r>
      </w:hyperlink>
    </w:p>
    <w:bookmarkEnd w:id="30"/>
    <w:bookmarkEnd w:id="31"/>
    <w:bookmarkStart w:id="37" w:name="X75d69ff685fa6a343b43589f3f720587ecf1f0e"/>
    <w:p>
      <w:pPr>
        <w:pStyle w:val="Heading2"/>
      </w:pPr>
      <w:r>
        <w:t xml:space="preserve">Carvana’s reported loan-sale gains and their linkage into Total GPU</w:t>
      </w:r>
    </w:p>
    <w:bookmarkStart w:id="32" w:name="exact-periods-and-report-dates"/>
    <w:p>
      <w:pPr>
        <w:pStyle w:val="Heading3"/>
      </w:pPr>
      <w:r>
        <w:t xml:space="preserve">Exact periods and report dates</w:t>
      </w:r>
    </w:p>
    <w:p>
      <w:pPr>
        <w:pStyle w:val="FirstParagraph"/>
      </w:pPr>
      <w:r>
        <w:t xml:space="preserve">Carvana’s FY 2025 Form 10‑K covers the fiscal year ended</w:t>
      </w:r>
      <w:r>
        <w:t xml:space="preserve"> </w:t>
      </w:r>
      <w:r>
        <w:rPr>
          <w:b/>
          <w:bCs/>
        </w:rPr>
        <w:t xml:space="preserve">December 31, 2025</w:t>
      </w:r>
      <w:r>
        <w:t xml:space="preserve"> </w:t>
      </w:r>
      <w:r>
        <w:t xml:space="preserve">and was filed</w:t>
      </w:r>
      <w:r>
        <w:t xml:space="preserve"> </w:t>
      </w:r>
      <w:r>
        <w:rPr>
          <w:b/>
          <w:bCs/>
        </w:rPr>
        <w:t xml:space="preserve">February 18, 2026</w:t>
      </w:r>
      <w:r>
        <w:t xml:space="preserve">.</w:t>
      </w:r>
      <w:r>
        <w:t xml:space="preserve"> </w:t>
      </w:r>
      <w:hyperlink r:id="rId24">
        <w:r>
          <w:rPr>
            <w:rStyle w:val="Hyperlink"/>
          </w:rPr>
          <w:t xml:space="preserve">[18]</w:t>
        </w:r>
      </w:hyperlink>
      <w:r>
        <w:t xml:space="preserve"> </w:t>
      </w:r>
      <w:r>
        <w:t xml:space="preserve">The FY 2025 shareholder letter tables (included in the furnished earnings materials) provide Q4 2025 (three months ended Dec 31, 2025) and FY 2025 per-unit gross profit metrics including Total GPU.</w:t>
      </w:r>
      <w:r>
        <w:t xml:space="preserve"> </w:t>
      </w:r>
      <w:hyperlink r:id="rId22">
        <w:r>
          <w:rPr>
            <w:rStyle w:val="Hyperlink"/>
          </w:rPr>
          <w:t xml:space="preserve">[19]</w:t>
        </w:r>
      </w:hyperlink>
    </w:p>
    <w:bookmarkEnd w:id="32"/>
    <w:bookmarkStart w:id="33" w:name="X491ade58a66231d534184085ceb2ca42ae9b9a5"/>
    <w:p>
      <w:pPr>
        <w:pStyle w:val="Heading3"/>
      </w:pPr>
      <w:r>
        <w:t xml:space="preserve">Q4 2025: how much of Total GPU is “Other gross profit per retail unit”</w:t>
      </w:r>
    </w:p>
    <w:p>
      <w:pPr>
        <w:pStyle w:val="FirstParagraph"/>
      </w:pPr>
      <w:r>
        <w:t xml:space="preserve">From Carvana’s Q4 2025 table:</w:t>
      </w:r>
      <w:r>
        <w:t xml:space="preserve"> </w:t>
      </w:r>
      <w:r>
        <w:t xml:space="preserve">- Retail units:</w:t>
      </w:r>
      <w:r>
        <w:t xml:space="preserve"> </w:t>
      </w:r>
      <w:r>
        <w:rPr>
          <w:b/>
          <w:bCs/>
        </w:rPr>
        <w:t xml:space="preserve">163,522</w:t>
      </w:r>
      <w:r>
        <w:t xml:space="preserve"> </w:t>
      </w:r>
      <w:r>
        <w:t xml:space="preserve">- Total gross profit:</w:t>
      </w:r>
      <w:r>
        <w:t xml:space="preserve"> </w:t>
      </w:r>
      <w:r>
        <w:rPr>
          <w:b/>
          <w:bCs/>
        </w:rPr>
        <w:t xml:space="preserve">$1,051M</w:t>
      </w:r>
      <w:r>
        <w:t xml:space="preserve"> </w:t>
      </w:r>
      <w:r>
        <w:t xml:space="preserve">- Retail gross profit:</w:t>
      </w:r>
      <w:r>
        <w:t xml:space="preserve"> </w:t>
      </w:r>
      <w:r>
        <w:rPr>
          <w:b/>
          <w:bCs/>
        </w:rPr>
        <w:t xml:space="preserve">$489M</w:t>
      </w:r>
      <w:r>
        <w:t xml:space="preserve"> </w:t>
      </w:r>
      <w:r>
        <w:t xml:space="preserve">- Wholesale gross profit:</w:t>
      </w:r>
      <w:r>
        <w:t xml:space="preserve"> </w:t>
      </w:r>
      <w:r>
        <w:rPr>
          <w:b/>
          <w:bCs/>
        </w:rPr>
        <w:t xml:space="preserve">$103M</w:t>
      </w:r>
      <w:r>
        <w:t xml:space="preserve"> </w:t>
      </w:r>
      <w:r>
        <w:t xml:space="preserve">- Other gross profit:</w:t>
      </w:r>
      <w:r>
        <w:t xml:space="preserve"> </w:t>
      </w:r>
      <w:r>
        <w:rPr>
          <w:b/>
          <w:bCs/>
        </w:rPr>
        <w:t xml:space="preserve">$459M</w:t>
      </w:r>
      <w:r>
        <w:t xml:space="preserve"> </w:t>
      </w:r>
      <w:r>
        <w:t xml:space="preserve">- Total GPU:</w:t>
      </w:r>
      <w:r>
        <w:t xml:space="preserve"> </w:t>
      </w:r>
      <w:r>
        <w:rPr>
          <w:b/>
          <w:bCs/>
        </w:rPr>
        <w:t xml:space="preserve">$6,427</w:t>
      </w:r>
      <w:r>
        <w:t xml:space="preserve"> </w:t>
      </w:r>
      <w:r>
        <w:t xml:space="preserve">- Retail GPU:</w:t>
      </w:r>
      <w:r>
        <w:t xml:space="preserve"> </w:t>
      </w:r>
      <w:r>
        <w:rPr>
          <w:b/>
          <w:bCs/>
        </w:rPr>
        <w:t xml:space="preserve">$2,990</w:t>
      </w:r>
      <w:r>
        <w:t xml:space="preserve"> </w:t>
      </w:r>
      <w:r>
        <w:t xml:space="preserve">- Wholesale gross profit per retail unit:</w:t>
      </w:r>
      <w:r>
        <w:t xml:space="preserve"> </w:t>
      </w:r>
      <w:r>
        <w:rPr>
          <w:b/>
          <w:bCs/>
        </w:rPr>
        <w:t xml:space="preserve">$630</w:t>
      </w:r>
      <w:r>
        <w:t xml:space="preserve"> </w:t>
      </w:r>
      <w:r>
        <w:t xml:space="preserve">- Other gross profit per retail unit:</w:t>
      </w:r>
      <w:r>
        <w:t xml:space="preserve"> </w:t>
      </w:r>
      <w:r>
        <w:rPr>
          <w:b/>
          <w:bCs/>
        </w:rPr>
        <w:t xml:space="preserve">$2,807</w:t>
      </w:r>
      <w:r>
        <w:t xml:space="preserve"> </w:t>
      </w:r>
      <w:hyperlink r:id="rId22">
        <w:r>
          <w:rPr>
            <w:rStyle w:val="Hyperlink"/>
          </w:rPr>
          <w:t xml:space="preserve">[13]</w:t>
        </w:r>
      </w:hyperlink>
    </w:p>
    <w:p>
      <w:pPr>
        <w:pStyle w:val="BodyText"/>
      </w:pPr>
      <w:r>
        <w:t xml:space="preserve">These per-unit values reconcile arithmetically as:</w:t>
      </w:r>
      <w:r>
        <w:t xml:space="preserve"> </w:t>
      </w:r>
      <w:r>
        <w:t xml:space="preserve">- Total GPU = $1,051M ÷ 163,522 ≈</w:t>
      </w:r>
      <w:r>
        <w:t xml:space="preserve"> </w:t>
      </w:r>
      <w:r>
        <w:rPr>
          <w:b/>
          <w:bCs/>
        </w:rPr>
        <w:t xml:space="preserve">$6,427</w:t>
      </w:r>
      <w:r>
        <w:t xml:space="preserve"> </w:t>
      </w:r>
      <w:r>
        <w:t xml:space="preserve">- Other gross profit per retail unit = $459M ÷ 163,522 ≈</w:t>
      </w:r>
      <w:r>
        <w:t xml:space="preserve"> </w:t>
      </w:r>
      <w:r>
        <w:rPr>
          <w:b/>
          <w:bCs/>
        </w:rPr>
        <w:t xml:space="preserve">$2,807</w:t>
      </w:r>
      <w:r>
        <w:t xml:space="preserve"> </w:t>
      </w:r>
      <w:r>
        <w:t xml:space="preserve">- Retail GPU + Wholesale/retail-unit + Other/retail-unit = 2,990 + 630 + 2,807 =</w:t>
      </w:r>
      <w:r>
        <w:t xml:space="preserve"> </w:t>
      </w:r>
      <w:r>
        <w:rPr>
          <w:b/>
          <w:bCs/>
        </w:rPr>
        <w:t xml:space="preserve">6,427</w:t>
      </w:r>
      <w:r>
        <w:t xml:space="preserve"> </w:t>
      </w:r>
      <w:hyperlink r:id="rId22">
        <w:r>
          <w:rPr>
            <w:rStyle w:val="Hyperlink"/>
          </w:rPr>
          <w:t xml:space="preserve">[13]</w:t>
        </w:r>
      </w:hyperlink>
    </w:p>
    <w:p>
      <w:pPr>
        <w:pStyle w:val="BodyText"/>
      </w:pPr>
      <w:r>
        <w:t xml:space="preserve">Interpretation for your “suspicion” question: in Q4 2025,</w:t>
      </w:r>
      <w:r>
        <w:t xml:space="preserve"> </w:t>
      </w:r>
      <w:r>
        <w:rPr>
          <w:b/>
          <w:bCs/>
        </w:rPr>
        <w:t xml:space="preserve">~43.7%</w:t>
      </w:r>
      <w:r>
        <w:t xml:space="preserve"> </w:t>
      </w:r>
      <w:r>
        <w:t xml:space="preserve">of Total GPU (2,807 / 6,427) came from “Other gross profit per retail unit,” the bucket that includes loan-sale gains plus ancillary product commissions.</w:t>
      </w:r>
      <w:r>
        <w:t xml:space="preserve"> </w:t>
      </w:r>
      <w:hyperlink r:id="rId22">
        <w:r>
          <w:rPr>
            <w:rStyle w:val="Hyperlink"/>
          </w:rPr>
          <w:t xml:space="preserve">[13]</w:t>
        </w:r>
      </w:hyperlink>
      <w:r>
        <w:br/>
      </w:r>
      <w:r>
        <w:t xml:space="preserve">But the filings do</w:t>
      </w:r>
      <w:r>
        <w:t xml:space="preserve"> </w:t>
      </w:r>
      <w:r>
        <w:rPr>
          <w:b/>
          <w:bCs/>
        </w:rPr>
        <w:t xml:space="preserve">not</w:t>
      </w:r>
      <w:r>
        <w:t xml:space="preserve"> </w:t>
      </w:r>
      <w:r>
        <w:t xml:space="preserve">provide a clean Q4-only breakout of “gain on loan sales” (the 10‑K discloses annual loan-sale gains).</w:t>
      </w:r>
      <w:r>
        <w:t xml:space="preserve"> </w:t>
      </w:r>
      <w:hyperlink r:id="rId21">
        <w:r>
          <w:rPr>
            <w:rStyle w:val="Hyperlink"/>
          </w:rPr>
          <w:t xml:space="preserve">[20]</w:t>
        </w:r>
      </w:hyperlink>
    </w:p>
    <w:bookmarkEnd w:id="33"/>
    <w:bookmarkStart w:id="35" w:name="X4ddc56b1a1aff272d7b007023e40c6e57e1d80a"/>
    <w:p>
      <w:pPr>
        <w:pStyle w:val="Heading3"/>
      </w:pPr>
      <w:r>
        <w:t xml:space="preserve">FY 2025: loan-sale gain magnitude and implied “gain per retail unit”</w:t>
      </w:r>
    </w:p>
    <w:p>
      <w:pPr>
        <w:pStyle w:val="FirstParagraph"/>
      </w:pPr>
      <w:r>
        <w:t xml:space="preserve">Carvana’s FY 2025 disclosures provide three pieces needed to quantify the loan-sale gain mechanics:</w:t>
      </w:r>
    </w:p>
    <w:p>
      <w:pPr>
        <w:pStyle w:val="BodyText"/>
      </w:pPr>
      <w:r>
        <w:rPr>
          <w:b/>
          <w:bCs/>
        </w:rPr>
        <w:t xml:space="preserve">Annual gain recognized</w:t>
      </w:r>
      <w:r>
        <w:t xml:space="preserve"> </w:t>
      </w:r>
      <w:r>
        <w:t xml:space="preserve">- Total gain related to finance receivables sold:</w:t>
      </w:r>
      <w:r>
        <w:t xml:space="preserve"> </w:t>
      </w:r>
      <w:r>
        <w:rPr>
          <w:b/>
          <w:bCs/>
        </w:rPr>
        <w:t xml:space="preserve">$1.2B</w:t>
      </w:r>
      <w:r>
        <w:t xml:space="preserve"> </w:t>
      </w:r>
      <w:r>
        <w:t xml:space="preserve">for the year ended Dec 31, 2025.</w:t>
      </w:r>
      <w:r>
        <w:t xml:space="preserve"> </w:t>
      </w:r>
      <w:hyperlink r:id="rId21">
        <w:r>
          <w:rPr>
            <w:rStyle w:val="Hyperlink"/>
          </w:rPr>
          <w:t xml:space="preserve">[21]</w:t>
        </w:r>
      </w:hyperlink>
    </w:p>
    <w:p>
      <w:pPr>
        <w:pStyle w:val="BodyText"/>
      </w:pPr>
      <w:r>
        <w:rPr>
          <w:b/>
          <w:bCs/>
        </w:rPr>
        <w:t xml:space="preserve">Annual retail units (denominator used for “per retail unit” metrics)</w:t>
      </w:r>
      <w:r>
        <w:t xml:space="preserve"> </w:t>
      </w:r>
      <w:r>
        <w:t xml:space="preserve">- Retail vehicle unit sales:</w:t>
      </w:r>
      <w:r>
        <w:t xml:space="preserve"> </w:t>
      </w:r>
      <w:r>
        <w:rPr>
          <w:b/>
          <w:bCs/>
        </w:rPr>
        <w:t xml:space="preserve">596,641</w:t>
      </w:r>
      <w:r>
        <w:t xml:space="preserve"> </w:t>
      </w:r>
      <w:r>
        <w:t xml:space="preserve">for FY 2025.</w:t>
      </w:r>
      <w:r>
        <w:t xml:space="preserve"> </w:t>
      </w:r>
      <w:hyperlink r:id="rId22">
        <w:r>
          <w:rPr>
            <w:rStyle w:val="Hyperlink"/>
          </w:rPr>
          <w:t xml:space="preserve">[22]</w:t>
        </w:r>
      </w:hyperlink>
    </w:p>
    <w:p>
      <w:pPr>
        <w:pStyle w:val="BodyText"/>
      </w:pPr>
      <w:r>
        <w:rPr>
          <w:b/>
          <w:bCs/>
        </w:rPr>
        <w:t xml:space="preserve">Annual “Other” and Total GPU</w:t>
      </w:r>
      <w:r>
        <w:t xml:space="preserve"> </w:t>
      </w:r>
      <w:r>
        <w:t xml:space="preserve">- Other gross profit:</w:t>
      </w:r>
      <w:r>
        <w:t xml:space="preserve"> </w:t>
      </w:r>
      <w:r>
        <w:rPr>
          <w:b/>
          <w:bCs/>
        </w:rPr>
        <w:t xml:space="preserve">$1,733M</w:t>
      </w:r>
      <w:r>
        <w:t xml:space="preserve">, i.e., Other gross profit per retail unit:</w:t>
      </w:r>
      <w:r>
        <w:t xml:space="preserve"> </w:t>
      </w:r>
      <w:r>
        <w:rPr>
          <w:b/>
          <w:bCs/>
        </w:rPr>
        <w:t xml:space="preserve">$2,905</w:t>
      </w:r>
      <w:r>
        <w:t xml:space="preserve">.</w:t>
      </w:r>
      <w:r>
        <w:t xml:space="preserve"> </w:t>
      </w:r>
      <w:r>
        <w:t xml:space="preserve">- Total gross profit:</w:t>
      </w:r>
      <w:r>
        <w:t xml:space="preserve"> </w:t>
      </w:r>
      <w:r>
        <w:rPr>
          <w:b/>
          <w:bCs/>
        </w:rPr>
        <w:t xml:space="preserve">$4,192M</w:t>
      </w:r>
      <w:r>
        <w:t xml:space="preserve">, i.e., Total GPU:</w:t>
      </w:r>
      <w:r>
        <w:t xml:space="preserve"> </w:t>
      </w:r>
      <w:r>
        <w:rPr>
          <w:b/>
          <w:bCs/>
        </w:rPr>
        <w:t xml:space="preserve">$7,026</w:t>
      </w:r>
      <w:r>
        <w:t xml:space="preserve">.</w:t>
      </w:r>
      <w:r>
        <w:t xml:space="preserve"> </w:t>
      </w:r>
      <w:hyperlink r:id="rId22">
        <w:r>
          <w:rPr>
            <w:rStyle w:val="Hyperlink"/>
          </w:rPr>
          <w:t xml:space="preserve">[23]</w:t>
        </w:r>
      </w:hyperlink>
    </w:p>
    <w:bookmarkStart w:id="34" w:name="X2b13da60d5616e71beac3e8494cd317739cf9db"/>
    <w:p>
      <w:pPr>
        <w:pStyle w:val="Heading4"/>
      </w:pPr>
      <w:r>
        <w:t xml:space="preserve">Step-by-step calculation: “loan-sale gain per retail unit” and its share of Total GPU</w:t>
      </w:r>
    </w:p>
    <w:p>
      <w:pPr>
        <w:pStyle w:val="FirstParagraph"/>
      </w:pPr>
      <w:r>
        <w:t xml:space="preserve">Using the company-reported totals:</w:t>
      </w:r>
    </w:p>
    <w:p>
      <w:pPr>
        <w:pStyle w:val="BodyText"/>
      </w:pPr>
      <w:r>
        <w:t xml:space="preserve">1)</w:t>
      </w:r>
      <w:r>
        <w:t xml:space="preserve"> </w:t>
      </w:r>
      <w:r>
        <w:rPr>
          <w:b/>
          <w:bCs/>
        </w:rPr>
        <w:t xml:space="preserve">Loan-sale gain per retail unit (FY 2025)</w:t>
      </w:r>
      <w:r>
        <w:br/>
      </w:r>
      <w:r>
        <w:t xml:space="preserve">= $1.2B ÷ 596,641 retail units</w:t>
      </w:r>
      <w:r>
        <w:br/>
      </w:r>
      <w:r>
        <w:t xml:space="preserve">≈</w:t>
      </w:r>
      <w:r>
        <w:t xml:space="preserve"> </w:t>
      </w:r>
      <w:r>
        <w:rPr>
          <w:b/>
          <w:bCs/>
        </w:rPr>
        <w:t xml:space="preserve">$2,011 per retail unit</w:t>
      </w:r>
      <w:r>
        <w:t xml:space="preserve">.</w:t>
      </w:r>
      <w:r>
        <w:t xml:space="preserve"> </w:t>
      </w:r>
      <w:hyperlink r:id="rId21">
        <w:r>
          <w:rPr>
            <w:rStyle w:val="Hyperlink"/>
          </w:rPr>
          <w:t xml:space="preserve">[24]</w:t>
        </w:r>
      </w:hyperlink>
    </w:p>
    <w:p>
      <w:pPr>
        <w:pStyle w:val="BodyText"/>
      </w:pPr>
      <w:r>
        <w:t xml:space="preserve">2)</w:t>
      </w:r>
      <w:r>
        <w:t xml:space="preserve"> </w:t>
      </w:r>
      <w:r>
        <w:rPr>
          <w:b/>
          <w:bCs/>
        </w:rPr>
        <w:t xml:space="preserve">Share of “Other gross profit per retail unit” attributable to loan-sale gains (FY 2025, simple scaling)</w:t>
      </w:r>
      <w:r>
        <w:br/>
      </w:r>
      <w:r>
        <w:t xml:space="preserve">“Other gross profit per retail unit” = $2,905.</w:t>
      </w:r>
      <w:r>
        <w:t xml:space="preserve"> </w:t>
      </w:r>
      <w:hyperlink r:id="rId22">
        <w:r>
          <w:rPr>
            <w:rStyle w:val="Hyperlink"/>
          </w:rPr>
          <w:t xml:space="preserve">[25]</w:t>
        </w:r>
      </w:hyperlink>
      <w:r>
        <w:br/>
      </w:r>
      <w:r>
        <w:t xml:space="preserve">Loan-sale gain per retail unit ≈ $2,011.</w:t>
      </w:r>
      <w:r>
        <w:t xml:space="preserve"> </w:t>
      </w:r>
      <w:hyperlink r:id="rId21">
        <w:r>
          <w:rPr>
            <w:rStyle w:val="Hyperlink"/>
          </w:rPr>
          <w:t xml:space="preserve">[24]</w:t>
        </w:r>
      </w:hyperlink>
      <w:r>
        <w:br/>
      </w:r>
      <w:r>
        <w:t xml:space="preserve">Implied share ≈ 2,011 / 2,905 ≈</w:t>
      </w:r>
      <w:r>
        <w:t xml:space="preserve"> </w:t>
      </w:r>
      <w:r>
        <w:rPr>
          <w:b/>
          <w:bCs/>
        </w:rPr>
        <w:t xml:space="preserve">69%</w:t>
      </w:r>
      <w:r>
        <w:t xml:space="preserve"> </w:t>
      </w:r>
      <w:r>
        <w:t xml:space="preserve">(annual).</w:t>
      </w:r>
    </w:p>
    <w:p>
      <w:pPr>
        <w:pStyle w:val="BodyText"/>
      </w:pPr>
      <w:r>
        <w:t xml:space="preserve">3)</w:t>
      </w:r>
      <w:r>
        <w:t xml:space="preserve"> </w:t>
      </w:r>
      <w:r>
        <w:rPr>
          <w:b/>
          <w:bCs/>
        </w:rPr>
        <w:t xml:space="preserve">Share of Total GPU attributable to loan-sale gains (FY 2025, simple scaling)</w:t>
      </w:r>
      <w:r>
        <w:br/>
      </w:r>
      <w:r>
        <w:t xml:space="preserve">Total GPU = $7,026.</w:t>
      </w:r>
      <w:r>
        <w:t xml:space="preserve"> </w:t>
      </w:r>
      <w:hyperlink r:id="rId22">
        <w:r>
          <w:rPr>
            <w:rStyle w:val="Hyperlink"/>
          </w:rPr>
          <w:t xml:space="preserve">[25]</w:t>
        </w:r>
      </w:hyperlink>
      <w:r>
        <w:br/>
      </w:r>
      <w:r>
        <w:t xml:space="preserve">Implied share ≈ 2,011 / 7,026 ≈</w:t>
      </w:r>
      <w:r>
        <w:t xml:space="preserve"> </w:t>
      </w:r>
      <w:r>
        <w:rPr>
          <w:b/>
          <w:bCs/>
        </w:rPr>
        <w:t xml:space="preserve">29%</w:t>
      </w:r>
      <w:r>
        <w:t xml:space="preserve"> </w:t>
      </w:r>
      <w:r>
        <w:t xml:space="preserve">(annual).</w:t>
      </w:r>
    </w:p>
    <w:p>
      <w:pPr>
        <w:pStyle w:val="BodyText"/>
      </w:pPr>
      <w:r>
        <w:t xml:space="preserve">This is the cleanest “mechanical” explanation for why Total GPU looks unusually high: a very large fraction of Total GPU is driven by a gain recognized in a 100% gross margin line item that is not “vehicle retail margin” in the conventional sense.</w:t>
      </w:r>
      <w:r>
        <w:t xml:space="preserve"> </w:t>
      </w:r>
      <w:hyperlink r:id="rId21">
        <w:r>
          <w:rPr>
            <w:rStyle w:val="Hyperlink"/>
          </w:rPr>
          <w:t xml:space="preserve">[2]</w:t>
        </w:r>
      </w:hyperlink>
    </w:p>
    <w:bookmarkEnd w:id="34"/>
    <w:bookmarkEnd w:id="35"/>
    <w:bookmarkStart w:id="36" w:name="X258e420e535175f4e4153cab5c09d58b69bf625"/>
    <w:p>
      <w:pPr>
        <w:pStyle w:val="Heading3"/>
      </w:pPr>
      <w:r>
        <w:t xml:space="preserve">Volumes, balance-sheet positioning, and related assets tied to these gains</w:t>
      </w:r>
    </w:p>
    <w:p>
      <w:pPr>
        <w:pStyle w:val="FirstParagraph"/>
      </w:pPr>
      <w:r>
        <w:t xml:space="preserve">Carvana’s loan-sale channel volumes (principal balances sold, FY basis):</w:t>
      </w:r>
      <w:r>
        <w:t xml:space="preserve"> </w:t>
      </w:r>
      <w:r>
        <w:t xml:space="preserve">- Sold under Ally Bank</w:t>
      </w:r>
      <w:hyperlink r:id="rId25">
        <w:r>
          <w:rPr>
            <w:rStyle w:val="Hyperlink"/>
          </w:rPr>
          <w:t xml:space="preserve">[26]</w:t>
        </w:r>
      </w:hyperlink>
      <w:r>
        <w:t xml:space="preserve"> </w:t>
      </w:r>
      <w:r>
        <w:t xml:space="preserve">/ Ally Financial Inc.</w:t>
      </w:r>
      <w:hyperlink r:id="rId21">
        <w:r>
          <w:rPr>
            <w:rStyle w:val="Hyperlink"/>
          </w:rPr>
          <w:t xml:space="preserve">[27]</w:t>
        </w:r>
      </w:hyperlink>
      <w:r>
        <w:t xml:space="preserve"> </w:t>
      </w:r>
      <w:r>
        <w:t xml:space="preserve">MPSA forward-flow:</w:t>
      </w:r>
      <w:r>
        <w:t xml:space="preserve"> </w:t>
      </w:r>
      <w:r>
        <w:rPr>
          <w:b/>
          <w:bCs/>
        </w:rPr>
        <w:t xml:space="preserve">$4.7B</w:t>
      </w:r>
      <w:r>
        <w:t xml:space="preserve"> </w:t>
      </w:r>
      <w:r>
        <w:t xml:space="preserve">(FY 2025).</w:t>
      </w:r>
      <w:r>
        <w:t xml:space="preserve"> </w:t>
      </w:r>
      <w:hyperlink r:id="rId21">
        <w:r>
          <w:rPr>
            <w:rStyle w:val="Hyperlink"/>
          </w:rPr>
          <w:t xml:space="preserve">[28]</w:t>
        </w:r>
      </w:hyperlink>
      <w:r>
        <w:br/>
      </w:r>
      <w:r>
        <w:t xml:space="preserve">- Sold via securitization transactions:</w:t>
      </w:r>
      <w:r>
        <w:t xml:space="preserve"> </w:t>
      </w:r>
      <w:r>
        <w:rPr>
          <w:b/>
          <w:bCs/>
        </w:rPr>
        <w:t xml:space="preserve">$3.5B</w:t>
      </w:r>
      <w:r>
        <w:t xml:space="preserve"> </w:t>
      </w:r>
      <w:r>
        <w:t xml:space="preserve">(FY 2025).</w:t>
      </w:r>
      <w:r>
        <w:t xml:space="preserve"> </w:t>
      </w:r>
      <w:hyperlink r:id="rId21">
        <w:r>
          <w:rPr>
            <w:rStyle w:val="Hyperlink"/>
          </w:rPr>
          <w:t xml:space="preserve">[29]</w:t>
        </w:r>
      </w:hyperlink>
      <w:r>
        <w:br/>
      </w:r>
      <w:r>
        <w:t xml:space="preserve">- Sold via fixed pool loan sales to unrelated third parties:</w:t>
      </w:r>
      <w:r>
        <w:t xml:space="preserve"> </w:t>
      </w:r>
      <w:r>
        <w:rPr>
          <w:b/>
          <w:bCs/>
        </w:rPr>
        <w:t xml:space="preserve">$4.2B</w:t>
      </w:r>
      <w:r>
        <w:t xml:space="preserve"> </w:t>
      </w:r>
      <w:r>
        <w:t xml:space="preserve">(FY 2025).</w:t>
      </w:r>
      <w:r>
        <w:t xml:space="preserve"> </w:t>
      </w:r>
      <w:hyperlink r:id="rId21">
        <w:r>
          <w:rPr>
            <w:rStyle w:val="Hyperlink"/>
          </w:rPr>
          <w:t xml:space="preserve">[30]</w:t>
        </w:r>
      </w:hyperlink>
      <w:r>
        <w:br/>
      </w:r>
      <w:r>
        <w:t xml:space="preserve">These disclosures also note the company entered definitive purchase agreements (aggregate up to $12B of principal through Q4 2027) and had unused capacity at year-end.</w:t>
      </w:r>
      <w:r>
        <w:t xml:space="preserve"> </w:t>
      </w:r>
      <w:hyperlink r:id="rId21">
        <w:r>
          <w:rPr>
            <w:rStyle w:val="Hyperlink"/>
          </w:rPr>
          <w:t xml:space="preserve">[31]</w:t>
        </w:r>
      </w:hyperlink>
    </w:p>
    <w:p>
      <w:pPr>
        <w:pStyle w:val="BodyText"/>
      </w:pPr>
      <w:r>
        <w:t xml:space="preserve">Balance sheet items that connect directly to timing/recognition:</w:t>
      </w:r>
      <w:r>
        <w:t xml:space="preserve"> </w:t>
      </w:r>
      <w:r>
        <w:t xml:space="preserve">- Finance receivables held for sale, net:</w:t>
      </w:r>
      <w:r>
        <w:t xml:space="preserve"> </w:t>
      </w:r>
      <w:r>
        <w:rPr>
          <w:b/>
          <w:bCs/>
        </w:rPr>
        <w:t xml:space="preserve">$813M</w:t>
      </w:r>
      <w:r>
        <w:t xml:space="preserve"> </w:t>
      </w:r>
      <w:r>
        <w:t xml:space="preserve">at Dec 31, 2025.</w:t>
      </w:r>
      <w:r>
        <w:t xml:space="preserve"> </w:t>
      </w:r>
      <w:hyperlink r:id="rId21">
        <w:r>
          <w:rPr>
            <w:rStyle w:val="Hyperlink"/>
          </w:rPr>
          <w:t xml:space="preserve">[32]</w:t>
        </w:r>
      </w:hyperlink>
      <w:r>
        <w:br/>
      </w:r>
      <w:r>
        <w:t xml:space="preserve">- Valuation allowance on finance receivables (to carry at lower of unpaid principal or fair value):</w:t>
      </w:r>
      <w:r>
        <w:t xml:space="preserve"> </w:t>
      </w:r>
      <w:r>
        <w:rPr>
          <w:b/>
          <w:bCs/>
        </w:rPr>
        <w:t xml:space="preserve">$28M</w:t>
      </w:r>
      <w:r>
        <w:t xml:space="preserve"> </w:t>
      </w:r>
      <w:r>
        <w:t xml:space="preserve">at Dec 31, 2025.</w:t>
      </w:r>
      <w:r>
        <w:t xml:space="preserve"> </w:t>
      </w:r>
      <w:hyperlink r:id="rId21">
        <w:r>
          <w:rPr>
            <w:rStyle w:val="Hyperlink"/>
          </w:rPr>
          <w:t xml:space="preserve">[33]</w:t>
        </w:r>
      </w:hyperlink>
      <w:r>
        <w:br/>
      </w:r>
      <w:r>
        <w:t xml:space="preserve">- Beneficial interests in securitizations (retained securities):</w:t>
      </w:r>
      <w:r>
        <w:t xml:space="preserve"> </w:t>
      </w:r>
      <w:r>
        <w:rPr>
          <w:b/>
          <w:bCs/>
        </w:rPr>
        <w:t xml:space="preserve">$486M</w:t>
      </w:r>
      <w:r>
        <w:t xml:space="preserve"> </w:t>
      </w:r>
      <w:r>
        <w:t xml:space="preserve">at Dec 31, 2025 (Carvana discloses it was not the primary beneficiary and does not consolidate the securitization trusts).</w:t>
      </w:r>
      <w:r>
        <w:t xml:space="preserve"> </w:t>
      </w:r>
      <w:hyperlink r:id="rId21">
        <w:r>
          <w:rPr>
            <w:rStyle w:val="Hyperlink"/>
          </w:rPr>
          <w:t xml:space="preserve">[34]</w:t>
        </w:r>
      </w:hyperlink>
      <w:r>
        <w:br/>
      </w:r>
      <w:r>
        <w:t xml:space="preserve">- Beneficial interests roll-forward: opening</w:t>
      </w:r>
      <w:r>
        <w:t xml:space="preserve"> </w:t>
      </w:r>
      <w:r>
        <w:rPr>
          <w:b/>
          <w:bCs/>
        </w:rPr>
        <w:t xml:space="preserve">$464M</w:t>
      </w:r>
      <w:r>
        <w:t xml:space="preserve">, “received in securitization transactions”</w:t>
      </w:r>
      <w:r>
        <w:t xml:space="preserve"> </w:t>
      </w:r>
      <w:r>
        <w:rPr>
          <w:b/>
          <w:bCs/>
        </w:rPr>
        <w:t xml:space="preserve">$240M</w:t>
      </w:r>
      <w:r>
        <w:t xml:space="preserve">, payments received</w:t>
      </w:r>
      <w:r>
        <w:t xml:space="preserve"> </w:t>
      </w:r>
      <w:r>
        <w:rPr>
          <w:b/>
          <w:bCs/>
        </w:rPr>
        <w:t xml:space="preserve">($217M)</w:t>
      </w:r>
      <w:r>
        <w:t xml:space="preserve">, change in fair value</w:t>
      </w:r>
      <w:r>
        <w:t xml:space="preserve"> </w:t>
      </w:r>
      <w:r>
        <w:rPr>
          <w:b/>
          <w:bCs/>
        </w:rPr>
        <w:t xml:space="preserve">$12M</w:t>
      </w:r>
      <w:r>
        <w:t xml:space="preserve">, ending</w:t>
      </w:r>
      <w:r>
        <w:t xml:space="preserve"> </w:t>
      </w:r>
      <w:r>
        <w:rPr>
          <w:b/>
          <w:bCs/>
        </w:rPr>
        <w:t xml:space="preserve">$486M</w:t>
      </w:r>
      <w:r>
        <w:t xml:space="preserve"> </w:t>
      </w:r>
      <w:r>
        <w:t xml:space="preserve">(FY 2025).</w:t>
      </w:r>
      <w:r>
        <w:t xml:space="preserve"> </w:t>
      </w:r>
      <w:hyperlink r:id="rId21">
        <w:r>
          <w:rPr>
            <w:rStyle w:val="Hyperlink"/>
          </w:rPr>
          <w:t xml:space="preserve">[35]</w:t>
        </w:r>
      </w:hyperlink>
      <w:r>
        <w:br/>
      </w:r>
      <w:r>
        <w:t xml:space="preserve">- Discount rates used in valuation models for beneficial interests: range</w:t>
      </w:r>
      <w:r>
        <w:t xml:space="preserve"> </w:t>
      </w:r>
      <w:r>
        <w:rPr>
          <w:b/>
          <w:bCs/>
        </w:rPr>
        <w:t xml:space="preserve">5.2%–10.0%</w:t>
      </w:r>
      <w:r>
        <w:t xml:space="preserve">, weighted-average</w:t>
      </w:r>
      <w:r>
        <w:t xml:space="preserve"> </w:t>
      </w:r>
      <w:r>
        <w:rPr>
          <w:b/>
          <w:bCs/>
        </w:rPr>
        <w:t xml:space="preserve">9.0%</w:t>
      </w:r>
      <w:r>
        <w:t xml:space="preserve"> </w:t>
      </w:r>
      <w:r>
        <w:t xml:space="preserve">(as of Dec 31, 2025), with sensitivity warning that input changes can swing fair values materially.</w:t>
      </w:r>
      <w:r>
        <w:t xml:space="preserve"> </w:t>
      </w:r>
      <w:hyperlink r:id="rId21">
        <w:r>
          <w:rPr>
            <w:rStyle w:val="Hyperlink"/>
          </w:rPr>
          <w:t xml:space="preserve">[36]</w:t>
        </w:r>
      </w:hyperlink>
    </w:p>
    <w:p>
      <w:pPr>
        <w:pStyle w:val="BodyText"/>
      </w:pPr>
      <w:r>
        <w:t xml:space="preserve">Cash flow items (FY 2025) that highlight timing and how “gain” exceeds immediate cash:</w:t>
      </w:r>
      <w:r>
        <w:t xml:space="preserve"> </w:t>
      </w:r>
      <w:r>
        <w:t xml:space="preserve">- Originations of finance receivables:</w:t>
      </w:r>
      <w:r>
        <w:t xml:space="preserve"> </w:t>
      </w:r>
      <w:r>
        <w:rPr>
          <w:b/>
          <w:bCs/>
        </w:rPr>
        <w:t xml:space="preserve">$12.807B</w:t>
      </w:r>
      <w:r>
        <w:t xml:space="preserve"> </w:t>
      </w:r>
      <w:r>
        <w:t xml:space="preserve">(outflow).</w:t>
      </w:r>
      <w:r>
        <w:t xml:space="preserve"> </w:t>
      </w:r>
      <w:hyperlink r:id="rId22">
        <w:r>
          <w:rPr>
            <w:rStyle w:val="Hyperlink"/>
          </w:rPr>
          <w:t xml:space="preserve">[37]</w:t>
        </w:r>
      </w:hyperlink>
      <w:r>
        <w:br/>
      </w:r>
      <w:r>
        <w:t xml:space="preserve">- Proceeds from sale of finance receivables, net:</w:t>
      </w:r>
      <w:r>
        <w:t xml:space="preserve"> </w:t>
      </w:r>
      <w:r>
        <w:rPr>
          <w:b/>
          <w:bCs/>
        </w:rPr>
        <w:t xml:space="preserve">$13.315B</w:t>
      </w:r>
      <w:r>
        <w:t xml:space="preserve"> </w:t>
      </w:r>
      <w:r>
        <w:t xml:space="preserve">(inflow).</w:t>
      </w:r>
      <w:r>
        <w:t xml:space="preserve"> </w:t>
      </w:r>
      <w:hyperlink r:id="rId22">
        <w:r>
          <w:rPr>
            <w:rStyle w:val="Hyperlink"/>
          </w:rPr>
          <w:t xml:space="preserve">[37]</w:t>
        </w:r>
      </w:hyperlink>
      <w:r>
        <w:br/>
      </w:r>
      <w:r>
        <w:t xml:space="preserve">- Gain on loan sales:</w:t>
      </w:r>
      <w:r>
        <w:t xml:space="preserve"> </w:t>
      </w:r>
      <w:r>
        <w:rPr>
          <w:b/>
          <w:bCs/>
        </w:rPr>
        <w:t xml:space="preserve">$1.193B</w:t>
      </w:r>
      <w:r>
        <w:t xml:space="preserve"> </w:t>
      </w:r>
      <w:r>
        <w:t xml:space="preserve">(cash-flow adjustment line).</w:t>
      </w:r>
      <w:r>
        <w:t xml:space="preserve"> </w:t>
      </w:r>
      <w:hyperlink r:id="rId22">
        <w:r>
          <w:rPr>
            <w:rStyle w:val="Hyperlink"/>
          </w:rPr>
          <w:t xml:space="preserve">[38]</w:t>
        </w:r>
      </w:hyperlink>
    </w:p>
    <w:p>
      <w:pPr>
        <w:pStyle w:val="BodyText"/>
      </w:pPr>
      <w:r>
        <w:t xml:space="preserve">This pattern is consistent with GAAP sale accounting where recognized gain can include non-cash consideration (e.g., retained beneficial interests) and where the cash-flow statement separately shows cash proceeds while removing the gain from net income to reconcile to cash.</w:t>
      </w:r>
      <w:r>
        <w:t xml:space="preserve"> </w:t>
      </w:r>
      <w:hyperlink r:id="rId21">
        <w:r>
          <w:rPr>
            <w:rStyle w:val="Hyperlink"/>
          </w:rPr>
          <w:t xml:space="preserve">[39]</w:t>
        </w:r>
      </w:hyperlink>
    </w:p>
    <w:bookmarkEnd w:id="36"/>
    <w:bookmarkEnd w:id="37"/>
    <w:bookmarkStart w:id="41" w:name="X4018fd565f286d661434cf203ae4acbff9a2a35"/>
    <w:p>
      <w:pPr>
        <w:pStyle w:val="Heading2"/>
      </w:pPr>
      <w:r>
        <w:t xml:space="preserve">Economic mechanics of originating and selling auto loans and why it can create large up-front “GPU”</w:t>
      </w:r>
    </w:p>
    <w:p>
      <w:pPr>
        <w:pStyle w:val="FirstParagraph"/>
      </w:pPr>
      <w:r>
        <w:t xml:space="preserve">Carvana’s facts pattern is a classic “originate-to-distribute” model: it originates retail installment contracts and typically sells them rather than holding to maturity.</w:t>
      </w:r>
      <w:r>
        <w:t xml:space="preserve"> </w:t>
      </w:r>
      <w:hyperlink r:id="rId21">
        <w:r>
          <w:rPr>
            <w:rStyle w:val="Hyperlink"/>
          </w:rPr>
          <w:t xml:space="preserve">[40]</w:t>
        </w:r>
      </w:hyperlink>
    </w:p>
    <w:bookmarkStart w:id="38" w:name="X7391759267885ab5c60f32f7167e8b3813c9416"/>
    <w:p>
      <w:pPr>
        <w:pStyle w:val="Heading3"/>
      </w:pPr>
      <w:r>
        <w:t xml:space="preserve">Flowchart: origination → sale → gain recognition → retained interests</w:t>
      </w:r>
    </w:p>
    <w:p>
      <w:pPr>
        <w:pStyle w:val="SourceCode"/>
      </w:pPr>
      <w:r>
        <w:rPr>
          <w:rStyle w:val="VerbatimChar"/>
        </w:rPr>
        <w:t xml:space="preserve">flowchart TD</w:t>
      </w:r>
      <w:r>
        <w:br/>
      </w:r>
      <w:r>
        <w:rPr>
          <w:rStyle w:val="VerbatimChar"/>
        </w:rPr>
        <w:t xml:space="preserve">  A[Customer buys vehicle from Carvana] --&gt; B[Carvana originates installment contract&lt;br/&gt;Finance receivable held for sale]</w:t>
      </w:r>
      <w:r>
        <w:br/>
      </w:r>
      <w:r>
        <w:rPr>
          <w:rStyle w:val="VerbatimChar"/>
        </w:rPr>
        <w:t xml:space="preserve">  B --&gt; C{Disposition path}</w:t>
      </w:r>
      <w:r>
        <w:br/>
      </w:r>
      <w:r>
        <w:rPr>
          <w:rStyle w:val="VerbatimChar"/>
        </w:rPr>
        <w:t xml:space="preserve">  C --&gt; D[Forward-flow whole-loan sales&lt;br/&gt;(e.g., Ally MPSA)]</w:t>
      </w:r>
      <w:r>
        <w:br/>
      </w:r>
      <w:r>
        <w:rPr>
          <w:rStyle w:val="VerbatimChar"/>
        </w:rPr>
        <w:t xml:space="preserve">  C --&gt; E[Fixed pool loan sale&lt;br/&gt;to third-party buyer]</w:t>
      </w:r>
      <w:r>
        <w:br/>
      </w:r>
      <w:r>
        <w:rPr>
          <w:rStyle w:val="VerbatimChar"/>
        </w:rPr>
        <w:t xml:space="preserve">  C --&gt; F[Securitization trust sale&lt;br/&gt;(Carvana-sponsored ABS)]</w:t>
      </w:r>
      <w:r>
        <w:br/>
      </w:r>
      <w:r>
        <w:rPr>
          <w:rStyle w:val="VerbatimChar"/>
        </w:rPr>
        <w:t xml:space="preserve">  D --&gt; G[Sale consideration: cash +/- price adjustments&lt;br/&gt;Gain on sale recognized]</w:t>
      </w:r>
      <w:r>
        <w:br/>
      </w:r>
      <w:r>
        <w:rPr>
          <w:rStyle w:val="VerbatimChar"/>
        </w:rPr>
        <w:t xml:space="preserve">  E --&gt; G</w:t>
      </w:r>
      <w:r>
        <w:br/>
      </w:r>
      <w:r>
        <w:rPr>
          <w:rStyle w:val="VerbatimChar"/>
        </w:rPr>
        <w:t xml:space="preserve">  F --&gt; H[Sale consideration: cash + retained beneficial interests&lt;br/&gt;(risk retention)]</w:t>
      </w:r>
      <w:r>
        <w:br/>
      </w:r>
      <w:r>
        <w:rPr>
          <w:rStyle w:val="VerbatimChar"/>
        </w:rPr>
        <w:t xml:space="preserve">  H --&gt; G</w:t>
      </w:r>
      <w:r>
        <w:br/>
      </w:r>
      <w:r>
        <w:rPr>
          <w:rStyle w:val="VerbatimChar"/>
        </w:rPr>
        <w:t xml:space="preserve">  G --&gt; I[Reported in "Other sales and revenues"&lt;br/&gt;(100% gross margin)]</w:t>
      </w:r>
      <w:r>
        <w:br/>
      </w:r>
      <w:r>
        <w:rPr>
          <w:rStyle w:val="VerbatimChar"/>
        </w:rPr>
        <w:t xml:space="preserve">  F --&gt; J[Retained beneficial interests stay on balance sheet&lt;br/&gt;fair value changes impact earnings]</w:t>
      </w:r>
    </w:p>
    <w:p>
      <w:pPr>
        <w:pStyle w:val="FirstParagraph"/>
      </w:pPr>
      <w:r>
        <w:t xml:space="preserve">This mapping is directly supported by Carvana’s disclosures that it sells finance receivables via forward-flow and securitizations, recognizes gain on sale, retains at least 5% beneficial interests in securitizations, and that the gain is included in other sales and revenues.</w:t>
      </w:r>
      <w:r>
        <w:t xml:space="preserve"> </w:t>
      </w:r>
      <w:hyperlink r:id="rId21">
        <w:r>
          <w:rPr>
            <w:rStyle w:val="Hyperlink"/>
          </w:rPr>
          <w:t xml:space="preserve">[41]</w:t>
        </w:r>
      </w:hyperlink>
    </w:p>
    <w:bookmarkEnd w:id="38"/>
    <w:bookmarkStart w:id="39" w:name="X800e597c516b14923f98c99551ea0f0f15fc239"/>
    <w:p>
      <w:pPr>
        <w:pStyle w:val="Heading3"/>
      </w:pPr>
      <w:r>
        <w:t xml:space="preserve">Where “gain on sale” can come from economically</w:t>
      </w:r>
    </w:p>
    <w:p>
      <w:pPr>
        <w:pStyle w:val="FirstParagraph"/>
      </w:pPr>
      <w:r>
        <w:t xml:space="preserve">Even without a company-provided gain formula, industry-standard economics typically include:</w:t>
      </w:r>
    </w:p>
    <w:p>
      <w:pPr>
        <w:pStyle w:val="Compact"/>
        <w:numPr>
          <w:ilvl w:val="0"/>
          <w:numId w:val="1001"/>
        </w:numPr>
      </w:pPr>
      <w:r>
        <w:rPr>
          <w:b/>
          <w:bCs/>
        </w:rPr>
        <w:t xml:space="preserve">Origination spread / pricing premium</w:t>
      </w:r>
      <w:r>
        <w:t xml:space="preserve">: If the contract APR charged to customers is higher than the yield demanded by investors (after credit losses and servicing), the present value of cash flows can exceed unpaid principal, producing a premium price. Carvana explicitly notes that sale price depends on (among other factors) credit risk, the relationship between quoted customer rates and market rates at sale, forecasted loss rates, and investor demand/liquidity.</w:t>
      </w:r>
      <w:r>
        <w:t xml:space="preserve"> </w:t>
      </w:r>
      <w:hyperlink r:id="rId21">
        <w:r>
          <w:rPr>
            <w:rStyle w:val="Hyperlink"/>
          </w:rPr>
          <w:t xml:space="preserve">[8]</w:t>
        </w:r>
      </w:hyperlink>
    </w:p>
    <w:p>
      <w:pPr>
        <w:pStyle w:val="Compact"/>
        <w:numPr>
          <w:ilvl w:val="0"/>
          <w:numId w:val="1001"/>
        </w:numPr>
      </w:pPr>
      <w:r>
        <w:rPr>
          <w:b/>
          <w:bCs/>
        </w:rPr>
        <w:t xml:space="preserve">Retained interests and residual economics</w:t>
      </w:r>
      <w:r>
        <w:t xml:space="preserve">: In securitizations, the seller may retain subordinated notes or residual certificates (risk retention), which have measurable fair value and can be part of “proceeds” in sale accounting. Carvana discloses it typically retains at least 5% beneficial interests and records them on balance sheet.</w:t>
      </w:r>
      <w:r>
        <w:t xml:space="preserve"> </w:t>
      </w:r>
      <w:hyperlink r:id="rId21">
        <w:r>
          <w:rPr>
            <w:rStyle w:val="Hyperlink"/>
          </w:rPr>
          <w:t xml:space="preserve">[42]</w:t>
        </w:r>
      </w:hyperlink>
    </w:p>
    <w:p>
      <w:pPr>
        <w:pStyle w:val="Compact"/>
        <w:numPr>
          <w:ilvl w:val="0"/>
          <w:numId w:val="1001"/>
        </w:numPr>
      </w:pPr>
      <w:r>
        <w:rPr>
          <w:b/>
          <w:bCs/>
        </w:rPr>
        <w:t xml:space="preserve">Accounting recognition of non-cash proceeds</w:t>
      </w:r>
      <w:r>
        <w:t xml:space="preserve">: Under ASC 860 sale accounting, proceeds can include cash plus the fair value of retained beneficial interests (and servicing assets, where applicable), which increases recognized gain even if not all value is received in cash at closing. The Deloitte accounting guidance example explicitly illustrates sale proceeds including “cash” and a “beneficial interest,” with fair value measurement at transfer.</w:t>
      </w:r>
      <w:r>
        <w:t xml:space="preserve"> </w:t>
      </w:r>
      <w:hyperlink r:id="rId23">
        <w:r>
          <w:rPr>
            <w:rStyle w:val="Hyperlink"/>
          </w:rPr>
          <w:t xml:space="preserve">[43]</w:t>
        </w:r>
      </w:hyperlink>
    </w:p>
    <w:bookmarkEnd w:id="39"/>
    <w:bookmarkStart w:id="40" w:name="X5f116f34b349c16675f3b657bcddc5b7ac2082f"/>
    <w:p>
      <w:pPr>
        <w:pStyle w:val="Heading3"/>
      </w:pPr>
      <w:r>
        <w:t xml:space="preserve">Why this shows up inside GPU for Carvana but not for many peers</w:t>
      </w:r>
    </w:p>
    <w:p>
      <w:pPr>
        <w:pStyle w:val="FirstParagraph"/>
      </w:pPr>
      <w:r>
        <w:t xml:space="preserve">Carvana’s presentation choice is central: it places gain on loan sales inside “Other sales and revenues,” which is 100% gross margin and therefore directly inflates gross profit and “Total GPU.”</w:t>
      </w:r>
      <w:r>
        <w:t xml:space="preserve"> </w:t>
      </w:r>
      <w:hyperlink r:id="rId21">
        <w:r>
          <w:rPr>
            <w:rStyle w:val="Hyperlink"/>
          </w:rPr>
          <w:t xml:space="preserve">[2]</w:t>
        </w:r>
      </w:hyperlink>
      <w:r>
        <w:t xml:space="preserve"> </w:t>
      </w:r>
      <w:r>
        <w:t xml:space="preserve">This is not automatically “wrong,” but it makes Carvana’s GPU</w:t>
      </w:r>
      <w:r>
        <w:t xml:space="preserve"> </w:t>
      </w:r>
      <w:r>
        <w:rPr>
          <w:b/>
          <w:bCs/>
        </w:rPr>
        <w:t xml:space="preserve">structurally different</w:t>
      </w:r>
      <w:r>
        <w:t xml:space="preserve"> </w:t>
      </w:r>
      <w:r>
        <w:t xml:space="preserve">from retailers that treat financing primarily as commission income (F&amp;I) or that emphasize vehicle-only gross profit per unit.</w:t>
      </w:r>
    </w:p>
    <w:p>
      <w:pPr>
        <w:pStyle w:val="BodyText"/>
      </w:pPr>
      <w:r>
        <w:t xml:space="preserve">Carvana also signals this dependency as a risk factor, stating it depends on receivable sales for a substantial portion of gross profit and that deterioration in sale volume/prices would remove a “historically significant portion” of gross profits.</w:t>
      </w:r>
      <w:r>
        <w:t xml:space="preserve"> </w:t>
      </w:r>
      <w:hyperlink r:id="rId21">
        <w:r>
          <w:rPr>
            <w:rStyle w:val="Hyperlink"/>
          </w:rPr>
          <w:t xml:space="preserve">[8]</w:t>
        </w:r>
      </w:hyperlink>
    </w:p>
    <w:bookmarkEnd w:id="40"/>
    <w:bookmarkEnd w:id="41"/>
    <w:bookmarkStart w:id="46" w:name="X145470312600cbd514c6fc0a2127b34411d75dd"/>
    <w:p>
      <w:pPr>
        <w:pStyle w:val="Heading2"/>
      </w:pPr>
      <w:r>
        <w:t xml:space="preserve">Plausibility analysis of Carvana’s FY 2025 loan-sale gains and what would make them look “too high”</w:t>
      </w:r>
    </w:p>
    <w:bookmarkStart w:id="42" w:name="Xea9a90902556aee96f416c2eb08708ff6dbde96"/>
    <w:p>
      <w:pPr>
        <w:pStyle w:val="Heading3"/>
      </w:pPr>
      <w:r>
        <w:t xml:space="preserve">Quantifying the implied “gain rate” on sold principal</w:t>
      </w:r>
    </w:p>
    <w:p>
      <w:pPr>
        <w:pStyle w:val="FirstParagraph"/>
      </w:pPr>
      <w:r>
        <w:t xml:space="preserve">A simple aggregation (using disclosed principal balances sold under forward-flow, securitization, and fixed pool channels) gives:</w:t>
      </w:r>
      <w:r>
        <w:t xml:space="preserve"> </w:t>
      </w:r>
      <w:r>
        <w:t xml:space="preserve">- Total principal sold (FY 2025): 4.7B + 3.5B + 4.2B ≈</w:t>
      </w:r>
      <w:r>
        <w:t xml:space="preserve"> </w:t>
      </w:r>
      <w:r>
        <w:rPr>
          <w:b/>
          <w:bCs/>
        </w:rPr>
        <w:t xml:space="preserve">$12.4B</w:t>
      </w:r>
      <w:r>
        <w:t xml:space="preserve">.</w:t>
      </w:r>
      <w:r>
        <w:t xml:space="preserve"> </w:t>
      </w:r>
      <w:hyperlink r:id="rId21">
        <w:r>
          <w:rPr>
            <w:rStyle w:val="Hyperlink"/>
          </w:rPr>
          <w:t xml:space="preserve">[44]</w:t>
        </w:r>
      </w:hyperlink>
      <w:r>
        <w:br/>
      </w:r>
      <w:r>
        <w:t xml:space="preserve">- Total gain on finance receivables sold (FY 2025):</w:t>
      </w:r>
      <w:r>
        <w:t xml:space="preserve"> </w:t>
      </w:r>
      <w:r>
        <w:rPr>
          <w:b/>
          <w:bCs/>
        </w:rPr>
        <w:t xml:space="preserve">$1.2B</w:t>
      </w:r>
      <w:r>
        <w:t xml:space="preserve">.</w:t>
      </w:r>
      <w:r>
        <w:t xml:space="preserve"> </w:t>
      </w:r>
      <w:hyperlink r:id="rId21">
        <w:r>
          <w:rPr>
            <w:rStyle w:val="Hyperlink"/>
          </w:rPr>
          <w:t xml:space="preserve">[45]</w:t>
        </w:r>
      </w:hyperlink>
      <w:r>
        <w:br/>
      </w:r>
      <w:r>
        <w:t xml:space="preserve">- Implied gain rate: 1.2 / 12.4 ≈</w:t>
      </w:r>
      <w:r>
        <w:t xml:space="preserve"> </w:t>
      </w:r>
      <w:r>
        <w:rPr>
          <w:b/>
          <w:bCs/>
        </w:rPr>
        <w:t xml:space="preserve">9.7%</w:t>
      </w:r>
      <w:r>
        <w:t xml:space="preserve">.</w:t>
      </w:r>
    </w:p>
    <w:p>
      <w:pPr>
        <w:pStyle w:val="BodyText"/>
      </w:pPr>
      <w:r>
        <w:t xml:space="preserve">Carvana’s own trend disclosures show this is not a one-quarter anomaly: total gain rose from</w:t>
      </w:r>
      <w:r>
        <w:t xml:space="preserve"> </w:t>
      </w:r>
      <w:r>
        <w:rPr>
          <w:b/>
          <w:bCs/>
        </w:rPr>
        <w:t xml:space="preserve">$434M (FY 2023)</w:t>
      </w:r>
      <w:r>
        <w:t xml:space="preserve"> </w:t>
      </w:r>
      <w:r>
        <w:t xml:space="preserve">to</w:t>
      </w:r>
      <w:r>
        <w:t xml:space="preserve"> </w:t>
      </w:r>
      <w:r>
        <w:rPr>
          <w:b/>
          <w:bCs/>
        </w:rPr>
        <w:t xml:space="preserve">$755M (FY 2024)</w:t>
      </w:r>
      <w:r>
        <w:t xml:space="preserve"> </w:t>
      </w:r>
      <w:r>
        <w:t xml:space="preserve">to</w:t>
      </w:r>
      <w:r>
        <w:t xml:space="preserve"> </w:t>
      </w:r>
      <w:r>
        <w:rPr>
          <w:b/>
          <w:bCs/>
        </w:rPr>
        <w:t xml:space="preserve">$1.2B (FY 2025)</w:t>
      </w:r>
      <w:r>
        <w:t xml:space="preserve">.</w:t>
      </w:r>
      <w:r>
        <w:t xml:space="preserve"> </w:t>
      </w:r>
      <w:hyperlink r:id="rId21">
        <w:r>
          <w:rPr>
            <w:rStyle w:val="Hyperlink"/>
          </w:rPr>
          <w:t xml:space="preserve">[21]</w:t>
        </w:r>
      </w:hyperlink>
    </w:p>
    <w:p>
      <w:pPr>
        <w:pStyle w:val="BodyText"/>
      </w:pPr>
      <w:r>
        <w:t xml:space="preserve">Management commentary in MD&amp;A supports “spread expansion” as a driver: it states other sales and revenues increased primarily due to increased gain on loan sales from higher retail units, higher loan sale volume, and higher loan sale spreads (with some offset by lower interest income on loans held for sale).</w:t>
      </w:r>
      <w:r>
        <w:t xml:space="preserve"> </w:t>
      </w:r>
      <w:hyperlink r:id="rId21">
        <w:r>
          <w:rPr>
            <w:rStyle w:val="Hyperlink"/>
          </w:rPr>
          <w:t xml:space="preserve">[2]</w:t>
        </w:r>
      </w:hyperlink>
    </w:p>
    <w:bookmarkEnd w:id="42"/>
    <w:bookmarkStart w:id="44" w:name="Xc3eeaafc5552d419567a07c4c5f55c68c09578b"/>
    <w:p>
      <w:pPr>
        <w:pStyle w:val="Heading3"/>
      </w:pPr>
      <w:r>
        <w:t xml:space="preserve">Simple scenario math: what kind of APR–yield spread could support ~10% gain</w:t>
      </w:r>
    </w:p>
    <w:p>
      <w:pPr>
        <w:pStyle w:val="FirstParagraph"/>
      </w:pPr>
      <w:r>
        <w:t xml:space="preserve">Because Carvana does not disclose a single “average loan APR” or the precise cash-flow assumptions embedded in its pricing, the following is an illustrative plausibility check (not a reconstruction).</w:t>
      </w:r>
    </w:p>
    <w:p>
      <w:pPr>
        <w:pStyle w:val="BodyText"/>
      </w:pPr>
      <w:r>
        <w:t xml:space="preserve">If you treat the loan-sale gain as roughly a</w:t>
      </w:r>
      <w:r>
        <w:t xml:space="preserve"> </w:t>
      </w:r>
      <w:r>
        <w:rPr>
          <w:b/>
          <w:bCs/>
        </w:rPr>
        <w:t xml:space="preserve">premium</w:t>
      </w:r>
      <w:r>
        <w:t xml:space="preserve"> </w:t>
      </w:r>
      <w:r>
        <w:t xml:space="preserve">of ~9–10% of principal (consistent with the 9.7% implied rate above), a standard amortizing-loan valuation indicates that such a premium is feasible when contract APR is several percentage points above investor required yield—especially for longer terms.</w:t>
      </w:r>
    </w:p>
    <w:p>
      <w:pPr>
        <w:pStyle w:val="BodyText"/>
      </w:pPr>
      <w:r>
        <w:t xml:space="preserve">For example (illustrative):</w:t>
      </w:r>
      <w:r>
        <w:t xml:space="preserve"> </w:t>
      </w:r>
      <w:r>
        <w:t xml:space="preserve">- 72-month amortizing loan</w:t>
      </w:r>
      <w:r>
        <w:t xml:space="preserve"> </w:t>
      </w:r>
      <w:r>
        <w:t xml:space="preserve">- Investor required yield ~12%</w:t>
      </w:r>
      <w:r>
        <w:br/>
      </w:r>
      <w:r>
        <w:t xml:space="preserve">A premium of ~9.7% corresponds to a contract APR on the order of mid‑15%</w:t>
      </w:r>
      <w:r>
        <w:t xml:space="preserve"> </w:t>
      </w:r>
      <w:r>
        <w:rPr>
          <w:i/>
          <w:iCs/>
        </w:rPr>
        <w:t xml:space="preserve">before</w:t>
      </w:r>
      <w:r>
        <w:t xml:space="preserve"> </w:t>
      </w:r>
      <w:r>
        <w:t xml:space="preserve">considering expected credit losses. This aligns with Carvana’s own statement that sale prices depend on quoted customer rates vs market rates, loss forecasts, and investor demand.</w:t>
      </w:r>
      <w:r>
        <w:t xml:space="preserve"> </w:t>
      </w:r>
      <w:hyperlink r:id="rId21">
        <w:r>
          <w:rPr>
            <w:rStyle w:val="Hyperlink"/>
          </w:rPr>
          <w:t xml:space="preserve">[8]</w:t>
        </w:r>
      </w:hyperlink>
    </w:p>
    <w:p>
      <w:pPr>
        <w:pStyle w:val="BodyText"/>
      </w:pPr>
      <w:r>
        <w:t xml:space="preserve">But once you include expected credit losses, the needed gross spread rises materially. In a stylized sensitivity:</w:t>
      </w:r>
      <w:r>
        <w:t xml:space="preserve"> </w:t>
      </w:r>
      <w:r>
        <w:t xml:space="preserve">- If lifetime net losses are ~5% of principal, the contract APR needed to still deliver a ~9.7% premium rises to the high‑teens (still plausible for some subprime mixes, but dependent on underwriting and loss expectations).</w:t>
      </w:r>
    </w:p>
    <w:p>
      <w:pPr>
        <w:pStyle w:val="BodyText"/>
      </w:pPr>
      <w:r>
        <w:t xml:space="preserve">This matters today because macro credit signals (such as increasing subprime delinquency rates) can pressure investor required yields and reduce premiums, compressing gains.</w:t>
      </w:r>
      <w:r>
        <w:t xml:space="preserve"> </w:t>
      </w:r>
      <w:hyperlink r:id="rId43">
        <w:r>
          <w:rPr>
            <w:rStyle w:val="Hyperlink"/>
          </w:rPr>
          <w:t xml:space="preserve">[46]</w:t>
        </w:r>
      </w:hyperlink>
    </w:p>
    <w:bookmarkEnd w:id="44"/>
    <w:bookmarkStart w:id="45" w:name="X386df14d89375cc5857a018ff76cfa4fac7f8fd"/>
    <w:p>
      <w:pPr>
        <w:pStyle w:val="Heading3"/>
      </w:pPr>
      <w:r>
        <w:t xml:space="preserve">Mechanisms that can inflate (or front-load) reported gains without being fraud</w:t>
      </w:r>
    </w:p>
    <w:p>
      <w:pPr>
        <w:pStyle w:val="FirstParagraph"/>
      </w:pPr>
      <w:r>
        <w:t xml:space="preserve">Several accounting/timing features can legitimately make gain-on-sale look “large,” even when cash economics are less dramatic:</w:t>
      </w:r>
    </w:p>
    <w:p>
      <w:pPr>
        <w:pStyle w:val="Compact"/>
        <w:numPr>
          <w:ilvl w:val="0"/>
          <w:numId w:val="1002"/>
        </w:numPr>
      </w:pPr>
      <w:r>
        <w:rPr>
          <w:b/>
          <w:bCs/>
        </w:rPr>
        <w:t xml:space="preserve">Non-cash consideration</w:t>
      </w:r>
      <w:r>
        <w:t xml:space="preserve">: retained beneficial interests recognized at fair value can boost gain at sale even when not received in cash. Carvana explicitly retains beneficial interests and measures them at fair value (with Level 3 model inputs and disclosed discount-rate ranges).</w:t>
      </w:r>
      <w:r>
        <w:t xml:space="preserve"> </w:t>
      </w:r>
      <w:hyperlink r:id="rId21">
        <w:r>
          <w:rPr>
            <w:rStyle w:val="Hyperlink"/>
          </w:rPr>
          <w:t xml:space="preserve">[47]</w:t>
        </w:r>
      </w:hyperlink>
    </w:p>
    <w:p>
      <w:pPr>
        <w:pStyle w:val="Compact"/>
        <w:numPr>
          <w:ilvl w:val="0"/>
          <w:numId w:val="1002"/>
        </w:numPr>
      </w:pPr>
      <w:r>
        <w:rPr>
          <w:b/>
          <w:bCs/>
        </w:rPr>
        <w:t xml:space="preserve">Conservative “lower of principal or fair value” on held-for-sale loans</w:t>
      </w:r>
      <w:r>
        <w:t xml:space="preserve">: Carvana records finance receivables at the lower of unpaid principal balance or fair value via a valuation allowance. This can prevent upward marks when market pricing improves, effectively deferring recognition of value until sale (where gain is realized).</w:t>
      </w:r>
      <w:r>
        <w:t xml:space="preserve"> </w:t>
      </w:r>
      <w:hyperlink r:id="rId21">
        <w:r>
          <w:rPr>
            <w:rStyle w:val="Hyperlink"/>
          </w:rPr>
          <w:t xml:space="preserve">[33]</w:t>
        </w:r>
      </w:hyperlink>
    </w:p>
    <w:p>
      <w:pPr>
        <w:pStyle w:val="Compact"/>
        <w:numPr>
          <w:ilvl w:val="0"/>
          <w:numId w:val="1002"/>
        </w:numPr>
      </w:pPr>
      <w:r>
        <w:rPr>
          <w:b/>
          <w:bCs/>
        </w:rPr>
        <w:t xml:space="preserve">Mix shifts &amp; product bundling</w:t>
      </w:r>
      <w:r>
        <w:t xml:space="preserve">: Carvana discloses the sale price can vary with whether loans include GAP waiver coverage, and that other sales and revenues also includes commissions (VSC, GAP, insurance), net of reserves.</w:t>
      </w:r>
      <w:r>
        <w:t xml:space="preserve"> </w:t>
      </w:r>
      <w:hyperlink r:id="rId21">
        <w:r>
          <w:rPr>
            <w:rStyle w:val="Hyperlink"/>
          </w:rPr>
          <w:t xml:space="preserve">[48]</w:t>
        </w:r>
      </w:hyperlink>
    </w:p>
    <w:p>
      <w:pPr>
        <w:pStyle w:val="FirstParagraph"/>
      </w:pPr>
      <w:r>
        <w:t xml:space="preserve">None of these are inherently “suspicious,” but together they create an environment where Total GPU can rise sharply without an equal rise in vehicle retail gross margins.</w:t>
      </w:r>
    </w:p>
    <w:bookmarkEnd w:id="45"/>
    <w:bookmarkEnd w:id="46"/>
    <w:bookmarkStart w:id="50" w:name="X228c29b88b888d12ba43b33eff78b3a9f3c3495"/>
    <w:p>
      <w:pPr>
        <w:pStyle w:val="Heading2"/>
      </w:pPr>
      <w:r>
        <w:t xml:space="preserve">Red flags to investigate versus legitimate explanations, plus CarMax comparison</w:t>
      </w:r>
    </w:p>
    <w:bookmarkStart w:id="47" w:name="Xb1c48fbc0c68dd3f0c2bf45fe2893ccdba91541"/>
    <w:p>
      <w:pPr>
        <w:pStyle w:val="Heading3"/>
      </w:pPr>
      <w:r>
        <w:t xml:space="preserve">Red flags that would increase “suspicion” if evidence were found</w:t>
      </w:r>
    </w:p>
    <w:p>
      <w:pPr>
        <w:pStyle w:val="FirstParagraph"/>
      </w:pPr>
      <w:r>
        <w:t xml:space="preserve">The sources reviewed do not, by themselves, prove improper accounting. But these are the highest-yield areas for further diligence:</w:t>
      </w:r>
    </w:p>
    <w:p>
      <w:pPr>
        <w:pStyle w:val="Compact"/>
        <w:numPr>
          <w:ilvl w:val="0"/>
          <w:numId w:val="1003"/>
        </w:numPr>
      </w:pPr>
      <w:r>
        <w:rPr>
          <w:b/>
          <w:bCs/>
        </w:rPr>
        <w:t xml:space="preserve">Model-risk concentration</w:t>
      </w:r>
      <w:r>
        <w:t xml:space="preserve">: Carvana’s retained beneficial interests are valued using discount rates and other assumptions where management discloses meaningful sensitivity; aggressive discount-rate or loss assumptions at sale can increase gain.</w:t>
      </w:r>
      <w:r>
        <w:t xml:space="preserve"> </w:t>
      </w:r>
      <w:hyperlink r:id="rId21">
        <w:r>
          <w:rPr>
            <w:rStyle w:val="Hyperlink"/>
          </w:rPr>
          <w:t xml:space="preserve">[36]</w:t>
        </w:r>
      </w:hyperlink>
    </w:p>
    <w:p>
      <w:pPr>
        <w:pStyle w:val="Compact"/>
        <w:numPr>
          <w:ilvl w:val="0"/>
          <w:numId w:val="1003"/>
        </w:numPr>
      </w:pPr>
      <w:r>
        <w:rPr>
          <w:b/>
          <w:bCs/>
        </w:rPr>
        <w:t xml:space="preserve">Sustainability risk</w:t>
      </w:r>
      <w:r>
        <w:t xml:space="preserve">: The company itself warns that spread compression, weaker investor demand, or higher required discounts/time-to-sale would reduce gain and gross profit.</w:t>
      </w:r>
      <w:r>
        <w:t xml:space="preserve"> </w:t>
      </w:r>
      <w:hyperlink r:id="rId21">
        <w:r>
          <w:rPr>
            <w:rStyle w:val="Hyperlink"/>
          </w:rPr>
          <w:t xml:space="preserve">[8]</w:t>
        </w:r>
      </w:hyperlink>
    </w:p>
    <w:p>
      <w:pPr>
        <w:pStyle w:val="Compact"/>
        <w:numPr>
          <w:ilvl w:val="0"/>
          <w:numId w:val="1003"/>
        </w:numPr>
      </w:pPr>
      <w:r>
        <w:rPr>
          <w:b/>
          <w:bCs/>
        </w:rPr>
        <w:t xml:space="preserve">Capital markets dependency</w:t>
      </w:r>
      <w:r>
        <w:t xml:space="preserve">: Carvana states it depends on loan sale markets and notes that reduced demand/wider credit spreads can worsen execution (discounts, advance rates, time to sale).</w:t>
      </w:r>
      <w:r>
        <w:t xml:space="preserve"> </w:t>
      </w:r>
      <w:hyperlink r:id="rId21">
        <w:r>
          <w:rPr>
            <w:rStyle w:val="Hyperlink"/>
          </w:rPr>
          <w:t xml:space="preserve">[8]</w:t>
        </w:r>
      </w:hyperlink>
    </w:p>
    <w:p>
      <w:pPr>
        <w:pStyle w:val="Compact"/>
        <w:numPr>
          <w:ilvl w:val="0"/>
          <w:numId w:val="1003"/>
        </w:numPr>
      </w:pPr>
      <w:r>
        <w:rPr>
          <w:b/>
          <w:bCs/>
        </w:rPr>
        <w:t xml:space="preserve">Regulatory/legal overhang</w:t>
      </w:r>
      <w:r>
        <w:t xml:space="preserve">: Carvana discloses it received a subpoena from the SEC in June 2025 relating primarily to allegations made by a short-seller report and says it cannot predict outcome.</w:t>
      </w:r>
      <w:r>
        <w:t xml:space="preserve"> </w:t>
      </w:r>
      <w:hyperlink r:id="rId21">
        <w:r>
          <w:rPr>
            <w:rStyle w:val="Hyperlink"/>
          </w:rPr>
          <w:t xml:space="preserve">[49]</w:t>
        </w:r>
      </w:hyperlink>
    </w:p>
    <w:bookmarkEnd w:id="47"/>
    <w:bookmarkStart w:id="48" w:name="X18be136e47155c1740c742e9e49b7a71a0ff68d"/>
    <w:p>
      <w:pPr>
        <w:pStyle w:val="Heading3"/>
      </w:pPr>
      <w:r>
        <w:t xml:space="preserve">Legitimate explanations that are directly supported by primary sources</w:t>
      </w:r>
    </w:p>
    <w:p>
      <w:pPr>
        <w:pStyle w:val="Compact"/>
        <w:numPr>
          <w:ilvl w:val="0"/>
          <w:numId w:val="1004"/>
        </w:numPr>
      </w:pPr>
      <w:r>
        <w:rPr>
          <w:b/>
          <w:bCs/>
        </w:rPr>
        <w:t xml:space="preserve">Loan-sale spreads increased</w:t>
      </w:r>
      <w:r>
        <w:t xml:space="preserve">: MD&amp;A explicitly cites higher loan sale spreads, loan sale volume, and retail units as primary drivers of higher other sales and revenues.</w:t>
      </w:r>
      <w:r>
        <w:t xml:space="preserve"> </w:t>
      </w:r>
      <w:hyperlink r:id="rId21">
        <w:r>
          <w:rPr>
            <w:rStyle w:val="Hyperlink"/>
          </w:rPr>
          <w:t xml:space="preserve">[50]</w:t>
        </w:r>
      </w:hyperlink>
    </w:p>
    <w:p>
      <w:pPr>
        <w:pStyle w:val="Compact"/>
        <w:numPr>
          <w:ilvl w:val="0"/>
          <w:numId w:val="1004"/>
        </w:numPr>
      </w:pPr>
      <w:r>
        <w:rPr>
          <w:b/>
          <w:bCs/>
        </w:rPr>
        <w:t xml:space="preserve">Expanded and formalized sale channels</w:t>
      </w:r>
      <w:r>
        <w:t xml:space="preserve">: Carvana entered additional definitive loan purchase agreements (capacity up to $12B through Q4 2027) and expanded commitments under its forward-flow partner.</w:t>
      </w:r>
      <w:r>
        <w:t xml:space="preserve"> </w:t>
      </w:r>
      <w:hyperlink r:id="rId21">
        <w:r>
          <w:rPr>
            <w:rStyle w:val="Hyperlink"/>
          </w:rPr>
          <w:t xml:space="preserve">[51]</w:t>
        </w:r>
      </w:hyperlink>
    </w:p>
    <w:p>
      <w:pPr>
        <w:pStyle w:val="Compact"/>
        <w:numPr>
          <w:ilvl w:val="0"/>
          <w:numId w:val="1004"/>
        </w:numPr>
      </w:pPr>
      <w:r>
        <w:rPr>
          <w:b/>
          <w:bCs/>
        </w:rPr>
        <w:t xml:space="preserve">No related-party loan sales to DriveTime</w:t>
      </w:r>
      <w:r>
        <w:t xml:space="preserve">: While “other sales and revenues” includes sizable related-party amounts, the related-party footnote indicates those are primarily VSC commissions administered by DriveTime Automotive Group, Inc.</w:t>
      </w:r>
      <w:hyperlink r:id="rId22">
        <w:r>
          <w:rPr>
            <w:rStyle w:val="Hyperlink"/>
          </w:rPr>
          <w:t xml:space="preserve">[52]</w:t>
        </w:r>
      </w:hyperlink>
      <w:r>
        <w:t xml:space="preserve">, and it explicitly states Carvana sold</w:t>
      </w:r>
      <w:r>
        <w:t xml:space="preserve"> </w:t>
      </w:r>
      <w:r>
        <w:rPr>
          <w:b/>
          <w:bCs/>
        </w:rPr>
        <w:t xml:space="preserve">no finance receivables</w:t>
      </w:r>
      <w:r>
        <w:t xml:space="preserve"> </w:t>
      </w:r>
      <w:r>
        <w:t xml:space="preserve">to DriveTime from 2017 through 2025.</w:t>
      </w:r>
      <w:r>
        <w:t xml:space="preserve"> </w:t>
      </w:r>
      <w:hyperlink r:id="rId21">
        <w:r>
          <w:rPr>
            <w:rStyle w:val="Hyperlink"/>
          </w:rPr>
          <w:t xml:space="preserve">[53]</w:t>
        </w:r>
      </w:hyperlink>
    </w:p>
    <w:bookmarkEnd w:id="48"/>
    <w:bookmarkStart w:id="49" w:name="X66b862877d4fe74e75da60729d6aa9c1fac61a3"/>
    <w:p>
      <w:pPr>
        <w:pStyle w:val="Heading3"/>
      </w:pPr>
      <w:r>
        <w:t xml:space="preserve">CarMax comparison: why Carvana’s loan-sale gains look unusually large</w:t>
      </w:r>
    </w:p>
    <w:p>
      <w:pPr>
        <w:pStyle w:val="FirstParagraph"/>
      </w:pPr>
      <w:r>
        <w:t xml:space="preserve">CarMax’s most recent quarter filing (Q3 fiscal 2026, quarter ended Nov 30, 2025) discloses:</w:t>
      </w:r>
      <w:r>
        <w:t xml:space="preserve"> </w:t>
      </w:r>
      <w:r>
        <w:t xml:space="preserve">- Gain on sale of auto loans:</w:t>
      </w:r>
      <w:r>
        <w:t xml:space="preserve"> </w:t>
      </w:r>
      <w:r>
        <w:rPr>
          <w:b/>
          <w:bCs/>
        </w:rPr>
        <w:t xml:space="preserve">$27.0M</w:t>
      </w:r>
      <w:r>
        <w:t xml:space="preserve"> </w:t>
      </w:r>
      <w:r>
        <w:t xml:space="preserve">(net of transaction expenses).</w:t>
      </w:r>
      <w:r>
        <w:t xml:space="preserve"> </w:t>
      </w:r>
      <w:hyperlink r:id="rId29">
        <w:r>
          <w:rPr>
            <w:rStyle w:val="Hyperlink"/>
          </w:rPr>
          <w:t xml:space="preserve">[54]</w:t>
        </w:r>
      </w:hyperlink>
      <w:r>
        <w:br/>
      </w:r>
      <w:r>
        <w:t xml:space="preserve">- Auto loans sold:</w:t>
      </w:r>
      <w:r>
        <w:t xml:space="preserve"> </w:t>
      </w:r>
      <w:r>
        <w:rPr>
          <w:b/>
          <w:bCs/>
        </w:rPr>
        <w:t xml:space="preserve">~$930M</w:t>
      </w:r>
      <w:r>
        <w:t xml:space="preserve"> </w:t>
      </w:r>
      <w:r>
        <w:t xml:space="preserve">(inclusive of accrued interest).</w:t>
      </w:r>
      <w:r>
        <w:t xml:space="preserve"> </w:t>
      </w:r>
      <w:hyperlink r:id="rId29">
        <w:r>
          <w:rPr>
            <w:rStyle w:val="Hyperlink"/>
          </w:rPr>
          <w:t xml:space="preserve">[55]</w:t>
        </w:r>
      </w:hyperlink>
      <w:r>
        <w:br/>
      </w:r>
      <w:r>
        <w:t xml:space="preserve">- Implied gain rate: ~27 / 930 ≈</w:t>
      </w:r>
      <w:r>
        <w:t xml:space="preserve"> </w:t>
      </w:r>
      <w:r>
        <w:rPr>
          <w:b/>
          <w:bCs/>
        </w:rPr>
        <w:t xml:space="preserve">2.9%</w:t>
      </w:r>
      <w:r>
        <w:t xml:space="preserve">.</w:t>
      </w:r>
      <w:r>
        <w:t xml:space="preserve"> </w:t>
      </w:r>
      <w:hyperlink r:id="rId29">
        <w:r>
          <w:rPr>
            <w:rStyle w:val="Hyperlink"/>
          </w:rPr>
          <w:t xml:space="preserve">[16]</w:t>
        </w:r>
      </w:hyperlink>
      <w:r>
        <w:br/>
      </w:r>
      <w:r>
        <w:t xml:space="preserve">CarMax also notes the sale removed higher-margin receivables and affected total interest margin.</w:t>
      </w:r>
      <w:r>
        <w:t xml:space="preserve"> </w:t>
      </w:r>
      <w:hyperlink r:id="rId29">
        <w:r>
          <w:rPr>
            <w:rStyle w:val="Hyperlink"/>
          </w:rPr>
          <w:t xml:space="preserve">[56]</w:t>
        </w:r>
      </w:hyperlink>
    </w:p>
    <w:p>
      <w:pPr>
        <w:pStyle w:val="BodyText"/>
      </w:pPr>
      <w:r>
        <w:t xml:space="preserve">Carvana’s implied ~9–10% gain rate on sold principal is therefore</w:t>
      </w:r>
      <w:r>
        <w:t xml:space="preserve"> </w:t>
      </w:r>
      <w:r>
        <w:rPr>
          <w:b/>
          <w:bCs/>
        </w:rPr>
        <w:t xml:space="preserve">multiple times</w:t>
      </w:r>
      <w:r>
        <w:t xml:space="preserve"> </w:t>
      </w:r>
      <w:r>
        <w:t xml:space="preserve">the gain rate highlighted in CarMax’s disclosed sale transaction.</w:t>
      </w:r>
      <w:r>
        <w:t xml:space="preserve"> </w:t>
      </w:r>
      <w:hyperlink r:id="rId21">
        <w:r>
          <w:rPr>
            <w:rStyle w:val="Hyperlink"/>
          </w:rPr>
          <w:t xml:space="preserve">[57]</w:t>
        </w:r>
      </w:hyperlink>
      <w:r>
        <w:t xml:space="preserve"> </w:t>
      </w:r>
      <w:r>
        <w:t xml:space="preserve">This difference is not automatically evidence of manipulation—Carvana may have very different APRs/credit mix and may recognize more value via retained interests—but it is a strong quantitative reason investors might question comparability and sustainability.</w:t>
      </w:r>
    </w:p>
    <w:bookmarkEnd w:id="49"/>
    <w:bookmarkEnd w:id="50"/>
    <w:bookmarkStart w:id="53" w:name="Xe5f3f06004ca3b21511577360c77fe7950c74c1"/>
    <w:p>
      <w:pPr>
        <w:pStyle w:val="Heading2"/>
      </w:pPr>
      <w:r>
        <w:t xml:space="preserve">Comparative table and analytical conclusion</w:t>
      </w:r>
    </w:p>
    <w:bookmarkStart w:id="51" w:name="concise-comparative-table-of-key-metrics"/>
    <w:p>
      <w:pPr>
        <w:pStyle w:val="Heading3"/>
      </w:pPr>
      <w:r>
        <w:t xml:space="preserve">Concise comparative table of key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Carvana (Q4 2025 / FY 2025, period ended Dec 31, 2025; FY 10‑K filed Feb 18, 2026)</w:t>
            </w:r>
          </w:p>
        </w:tc>
        <w:tc>
          <w:tcPr/>
          <w:p>
            <w:pPr>
              <w:pStyle w:val="Compact"/>
            </w:pPr>
            <w:r>
              <w:t xml:space="preserve">CarMax (Q3 fiscal 2026, quarter ended Nov 30, 2025; 10‑Q filed Dec 23, 2025)</w:t>
            </w:r>
          </w:p>
        </w:tc>
      </w:tr>
      <w:tr>
        <w:tc>
          <w:tcPr/>
          <w:p>
            <w:pPr>
              <w:pStyle w:val="Compact"/>
            </w:pPr>
            <w:r>
              <w:t xml:space="preserve">Report date / filing date</w:t>
            </w:r>
          </w:p>
        </w:tc>
        <w:tc>
          <w:tcPr/>
          <w:p>
            <w:pPr>
              <w:pStyle w:val="Compact"/>
            </w:pPr>
            <w:r>
              <w:t xml:space="preserve">FY 10‑K filed</w:t>
            </w:r>
            <w:r>
              <w:t xml:space="preserve"> </w:t>
            </w:r>
            <w:r>
              <w:rPr>
                <w:b/>
                <w:bCs/>
              </w:rPr>
              <w:t xml:space="preserve">2026‑02‑18</w:t>
            </w:r>
            <w:r>
              <w:t xml:space="preserve">; Q4/FY tables furnished with FY results materials</w:t>
            </w:r>
            <w:r>
              <w:t xml:space="preserve"> </w:t>
            </w:r>
            <w:hyperlink r:id="rId24">
              <w:r>
                <w:rPr>
                  <w:rStyle w:val="Hyperlink"/>
                </w:rPr>
                <w:t xml:space="preserve">[58]</w:t>
              </w:r>
            </w:hyperlink>
          </w:p>
        </w:tc>
        <w:tc>
          <w:tcPr/>
          <w:p>
            <w:pPr>
              <w:pStyle w:val="Compact"/>
            </w:pPr>
            <w:r>
              <w:t xml:space="preserve">10‑Q filed</w:t>
            </w:r>
            <w:r>
              <w:t xml:space="preserve"> </w:t>
            </w:r>
            <w:r>
              <w:rPr>
                <w:b/>
                <w:bCs/>
              </w:rPr>
              <w:t xml:space="preserve">2025‑12‑23</w:t>
            </w:r>
            <w:r>
              <w:t xml:space="preserve"> </w:t>
            </w:r>
            <w:hyperlink r:id="rId25">
              <w:r>
                <w:rPr>
                  <w:rStyle w:val="Hyperlink"/>
                </w:rPr>
                <w:t xml:space="preserve">[59]</w:t>
              </w:r>
            </w:hyperlink>
          </w:p>
        </w:tc>
      </w:tr>
      <w:tr>
        <w:tc>
          <w:tcPr/>
          <w:p>
            <w:pPr>
              <w:pStyle w:val="Compact"/>
            </w:pPr>
            <w:r>
              <w:t xml:space="preserve">Total GPU (per “retail unit” denominator)</w:t>
            </w:r>
          </w:p>
        </w:tc>
        <w:tc>
          <w:tcPr/>
          <w:p>
            <w:pPr>
              <w:pStyle w:val="Compact"/>
            </w:pPr>
            <w:r>
              <w:t xml:space="preserve">Q4:</w:t>
            </w:r>
            <w:r>
              <w:t xml:space="preserve"> </w:t>
            </w:r>
            <w:r>
              <w:rPr>
                <w:b/>
                <w:bCs/>
              </w:rPr>
              <w:t xml:space="preserve">$6,427</w:t>
            </w:r>
            <w:r>
              <w:t xml:space="preserve">; FY:</w:t>
            </w:r>
            <w:r>
              <w:t xml:space="preserve"> </w:t>
            </w:r>
            <w:r>
              <w:rPr>
                <w:b/>
                <w:bCs/>
              </w:rPr>
              <w:t xml:space="preserve">$7,026</w:t>
            </w:r>
            <w:r>
              <w:t xml:space="preserve"> </w:t>
            </w:r>
            <w:hyperlink r:id="rId22">
              <w:r>
                <w:rPr>
                  <w:rStyle w:val="Hyperlink"/>
                </w:rPr>
                <w:t xml:space="preserve">[22]</w:t>
              </w:r>
            </w:hyperlink>
          </w:p>
        </w:tc>
        <w:tc>
          <w:tcPr/>
          <w:p>
            <w:pPr>
              <w:pStyle w:val="Compact"/>
            </w:pPr>
            <w:r>
              <w:t xml:space="preserve">Not presented as “GPU” in the 10‑Q; CAF economics shown as interest margin %, provision, etc.</w:t>
            </w:r>
            <w:r>
              <w:t xml:space="preserve"> </w:t>
            </w:r>
            <w:hyperlink r:id="rId29">
              <w:r>
                <w:rPr>
                  <w:rStyle w:val="Hyperlink"/>
                </w:rPr>
                <w:t xml:space="preserve">[60]</w:t>
              </w:r>
            </w:hyperlink>
          </w:p>
        </w:tc>
      </w:tr>
      <w:tr>
        <w:tc>
          <w:tcPr/>
          <w:p>
            <w:pPr>
              <w:pStyle w:val="Compact"/>
            </w:pPr>
            <w:r>
              <w:t xml:space="preserve">“Other gross profit per retail unit”</w:t>
            </w:r>
          </w:p>
        </w:tc>
        <w:tc>
          <w:tcPr/>
          <w:p>
            <w:pPr>
              <w:pStyle w:val="Compact"/>
            </w:pPr>
            <w:r>
              <w:t xml:space="preserve">Q4:</w:t>
            </w:r>
            <w:r>
              <w:t xml:space="preserve"> </w:t>
            </w:r>
            <w:r>
              <w:rPr>
                <w:b/>
                <w:bCs/>
              </w:rPr>
              <w:t xml:space="preserve">$2,807</w:t>
            </w:r>
            <w:r>
              <w:t xml:space="preserve">; FY:</w:t>
            </w:r>
            <w:r>
              <w:t xml:space="preserve"> </w:t>
            </w:r>
            <w:r>
              <w:rPr>
                <w:b/>
                <w:bCs/>
              </w:rPr>
              <w:t xml:space="preserve">$2,905</w:t>
            </w:r>
            <w:r>
              <w:t xml:space="preserve"> </w:t>
            </w:r>
            <w:hyperlink r:id="rId22">
              <w:r>
                <w:rPr>
                  <w:rStyle w:val="Hyperlink"/>
                </w:rPr>
                <w:t xml:space="preserve">[25]</w:t>
              </w:r>
            </w:hyperlink>
          </w:p>
        </w:tc>
        <w:tc>
          <w:tcPr/>
          <w:p>
            <w:pPr>
              <w:pStyle w:val="Compact"/>
            </w:pPr>
            <w:r>
              <w:t xml:space="preserve">Not a comparable line item; finance segment is CAF income.</w:t>
            </w:r>
            <w:r>
              <w:t xml:space="preserve"> </w:t>
            </w:r>
            <w:hyperlink r:id="rId29">
              <w:r>
                <w:rPr>
                  <w:rStyle w:val="Hyperlink"/>
                </w:rPr>
                <w:t xml:space="preserve">[17]</w:t>
              </w:r>
            </w:hyperlink>
          </w:p>
        </w:tc>
      </w:tr>
      <w:tr>
        <w:tc>
          <w:tcPr/>
          <w:p>
            <w:pPr>
              <w:pStyle w:val="Compact"/>
            </w:pPr>
            <w:r>
              <w:t xml:space="preserve">Gain on loan/auto-loan sales</w:t>
            </w:r>
          </w:p>
        </w:tc>
        <w:tc>
          <w:tcPr/>
          <w:p>
            <w:pPr>
              <w:pStyle w:val="Compact"/>
            </w:pPr>
            <w:r>
              <w:t xml:space="preserve">FY:</w:t>
            </w:r>
            <w:r>
              <w:t xml:space="preserve"> </w:t>
            </w:r>
            <w:r>
              <w:rPr>
                <w:b/>
                <w:bCs/>
              </w:rPr>
              <w:t xml:space="preserve">$1.2B</w:t>
            </w:r>
            <w:r>
              <w:t xml:space="preserve"> </w:t>
            </w:r>
            <w:r>
              <w:t xml:space="preserve">total gain on finance receivables sold (included in other sales &amp; revenues)</w:t>
            </w:r>
            <w:r>
              <w:t xml:space="preserve"> </w:t>
            </w:r>
            <w:hyperlink r:id="rId21">
              <w:r>
                <w:rPr>
                  <w:rStyle w:val="Hyperlink"/>
                </w:rPr>
                <w:t xml:space="preserve">[21]</w:t>
              </w:r>
            </w:hyperlink>
          </w:p>
        </w:tc>
        <w:tc>
          <w:tcPr/>
          <w:p>
            <w:pPr>
              <w:pStyle w:val="Compact"/>
            </w:pPr>
            <w:r>
              <w:t xml:space="preserve">Q3 fiscal 2026:</w:t>
            </w:r>
            <w:r>
              <w:t xml:space="preserve"> </w:t>
            </w:r>
            <w:r>
              <w:rPr>
                <w:b/>
                <w:bCs/>
              </w:rPr>
              <w:t xml:space="preserve">$27.0M</w:t>
            </w:r>
            <w:r>
              <w:t xml:space="preserve"> </w:t>
            </w:r>
            <w:r>
              <w:t xml:space="preserve">gain on sale of auto loans</w:t>
            </w:r>
            <w:r>
              <w:t xml:space="preserve"> </w:t>
            </w:r>
            <w:hyperlink r:id="rId29">
              <w:r>
                <w:rPr>
                  <w:rStyle w:val="Hyperlink"/>
                </w:rPr>
                <w:t xml:space="preserve">[54]</w:t>
              </w:r>
            </w:hyperlink>
          </w:p>
        </w:tc>
      </w:tr>
      <w:tr>
        <w:tc>
          <w:tcPr/>
          <w:p>
            <w:pPr>
              <w:pStyle w:val="Compact"/>
            </w:pPr>
            <w:r>
              <w:t xml:space="preserve">Sold-loan volume (principal)</w:t>
            </w:r>
          </w:p>
        </w:tc>
        <w:tc>
          <w:tcPr/>
          <w:p>
            <w:pPr>
              <w:pStyle w:val="Compact"/>
            </w:pPr>
            <w:r>
              <w:t xml:space="preserve">FY: $4.7B forward-flow + $3.5B securitizations + $4.2B fixed pool ≈</w:t>
            </w:r>
            <w:r>
              <w:t xml:space="preserve"> </w:t>
            </w:r>
            <w:r>
              <w:rPr>
                <w:b/>
                <w:bCs/>
              </w:rPr>
              <w:t xml:space="preserve">$12.4B</w:t>
            </w:r>
            <w:r>
              <w:t xml:space="preserve"> </w:t>
            </w:r>
            <w:r>
              <w:t xml:space="preserve">principal sold</w:t>
            </w:r>
            <w:r>
              <w:t xml:space="preserve"> </w:t>
            </w:r>
            <w:hyperlink r:id="rId21">
              <w:r>
                <w:rPr>
                  <w:rStyle w:val="Hyperlink"/>
                </w:rPr>
                <w:t xml:space="preserve">[44]</w:t>
              </w:r>
            </w:hyperlink>
          </w:p>
        </w:tc>
        <w:tc>
          <w:tcPr/>
          <w:p>
            <w:pPr>
              <w:pStyle w:val="Compact"/>
            </w:pPr>
            <w:r>
              <w:t xml:space="preserve">Q3 fiscal 2026: ~</w:t>
            </w:r>
            <w:r>
              <w:rPr>
                <w:b/>
                <w:bCs/>
              </w:rPr>
              <w:t xml:space="preserve">$930M</w:t>
            </w:r>
            <w:r>
              <w:t xml:space="preserve"> </w:t>
            </w:r>
            <w:r>
              <w:t xml:space="preserve">auto loans sold (incl. accrued interest)</w:t>
            </w:r>
            <w:r>
              <w:t xml:space="preserve"> </w:t>
            </w:r>
            <w:hyperlink r:id="rId29">
              <w:r>
                <w:rPr>
                  <w:rStyle w:val="Hyperlink"/>
                </w:rPr>
                <w:t xml:space="preserve">[55]</w:t>
              </w:r>
            </w:hyperlink>
          </w:p>
        </w:tc>
      </w:tr>
      <w:tr>
        <w:tc>
          <w:tcPr/>
          <w:p>
            <w:pPr>
              <w:pStyle w:val="Compact"/>
            </w:pPr>
            <w:r>
              <w:t xml:space="preserve">Implied gain rate on sold balance</w:t>
            </w:r>
          </w:p>
        </w:tc>
        <w:tc>
          <w:tcPr/>
          <w:p>
            <w:pPr>
              <w:pStyle w:val="Compact"/>
            </w:pPr>
            <w:r>
              <w:t xml:space="preserve">FY: ~</w:t>
            </w:r>
            <w:r>
              <w:rPr>
                <w:b/>
                <w:bCs/>
              </w:rPr>
              <w:t xml:space="preserve">9.7%</w:t>
            </w:r>
            <w:r>
              <w:t xml:space="preserve"> </w:t>
            </w:r>
            <w:r>
              <w:t xml:space="preserve">(1.2 / 12.4) (derived from disclosed totals)</w:t>
            </w:r>
            <w:r>
              <w:t xml:space="preserve"> </w:t>
            </w:r>
            <w:hyperlink r:id="rId21">
              <w:r>
                <w:rPr>
                  <w:rStyle w:val="Hyperlink"/>
                </w:rPr>
                <w:t xml:space="preserve">[61]</w:t>
              </w:r>
            </w:hyperlink>
          </w:p>
        </w:tc>
        <w:tc>
          <w:tcPr/>
          <w:p>
            <w:pPr>
              <w:pStyle w:val="Compact"/>
            </w:pPr>
            <w:r>
              <w:t xml:space="preserve">Q3 fiscal 2026: ~</w:t>
            </w:r>
            <w:r>
              <w:rPr>
                <w:b/>
                <w:bCs/>
              </w:rPr>
              <w:t xml:space="preserve">2.9%</w:t>
            </w:r>
            <w:r>
              <w:t xml:space="preserve"> </w:t>
            </w:r>
            <w:r>
              <w:t xml:space="preserve">(27 / 930)</w:t>
            </w:r>
            <w:r>
              <w:t xml:space="preserve"> </w:t>
            </w:r>
            <w:hyperlink r:id="rId29">
              <w:r>
                <w:rPr>
                  <w:rStyle w:val="Hyperlink"/>
                </w:rPr>
                <w:t xml:space="preserve">[16]</w:t>
              </w:r>
            </w:hyperlink>
          </w:p>
        </w:tc>
      </w:tr>
      <w:tr>
        <w:tc>
          <w:tcPr/>
          <w:p>
            <w:pPr>
              <w:pStyle w:val="Compact"/>
            </w:pPr>
            <w:r>
              <w:t xml:space="preserve">Finance receivables on balance sheet</w:t>
            </w:r>
          </w:p>
        </w:tc>
        <w:tc>
          <w:tcPr/>
          <w:p>
            <w:pPr>
              <w:pStyle w:val="Compact"/>
            </w:pPr>
            <w:r>
              <w:t xml:space="preserve">Finance receivables held for sale, net:</w:t>
            </w:r>
            <w:r>
              <w:t xml:space="preserve"> </w:t>
            </w:r>
            <w:r>
              <w:rPr>
                <w:b/>
                <w:bCs/>
              </w:rPr>
              <w:t xml:space="preserve">$813M</w:t>
            </w:r>
            <w:r>
              <w:t xml:space="preserve">; valuation allowance</w:t>
            </w:r>
            <w:r>
              <w:t xml:space="preserve"> </w:t>
            </w:r>
            <w:r>
              <w:rPr>
                <w:b/>
                <w:bCs/>
              </w:rPr>
              <w:t xml:space="preserve">$28M</w:t>
            </w:r>
            <w:r>
              <w:t xml:space="preserve"> </w:t>
            </w:r>
            <w:hyperlink r:id="rId21">
              <w:r>
                <w:rPr>
                  <w:rStyle w:val="Hyperlink"/>
                </w:rPr>
                <w:t xml:space="preserve">[62]</w:t>
              </w:r>
            </w:hyperlink>
          </w:p>
        </w:tc>
        <w:tc>
          <w:tcPr/>
          <w:p>
            <w:pPr>
              <w:pStyle w:val="Compact"/>
            </w:pPr>
            <w:r>
              <w:t xml:space="preserve">Auto loans held for investment, net:</w:t>
            </w:r>
            <w:r>
              <w:t xml:space="preserve"> </w:t>
            </w:r>
            <w:r>
              <w:rPr>
                <w:b/>
                <w:bCs/>
              </w:rPr>
              <w:t xml:space="preserve">$16.151B</w:t>
            </w:r>
            <w:r>
              <w:t xml:space="preserve">; allowance for loan losses</w:t>
            </w:r>
            <w:r>
              <w:t xml:space="preserve"> </w:t>
            </w:r>
            <w:r>
              <w:rPr>
                <w:b/>
                <w:bCs/>
              </w:rPr>
              <w:t xml:space="preserve">$474.8M</w:t>
            </w:r>
            <w:r>
              <w:t xml:space="preserve"> </w:t>
            </w:r>
            <w:hyperlink r:id="rId29">
              <w:r>
                <w:rPr>
                  <w:rStyle w:val="Hyperlink"/>
                </w:rPr>
                <w:t xml:space="preserve">[63]</w:t>
              </w:r>
            </w:hyperlink>
          </w:p>
        </w:tc>
      </w:tr>
      <w:tr>
        <w:tc>
          <w:tcPr/>
          <w:p>
            <w:pPr>
              <w:pStyle w:val="Compact"/>
            </w:pPr>
            <w:r>
              <w:t xml:space="preserve">Retained interests / beneficial interests</w:t>
            </w:r>
          </w:p>
        </w:tc>
        <w:tc>
          <w:tcPr/>
          <w:p>
            <w:pPr>
              <w:pStyle w:val="Compact"/>
            </w:pPr>
            <w:r>
              <w:t xml:space="preserve">Beneficial interests in securitizations:</w:t>
            </w:r>
            <w:r>
              <w:t xml:space="preserve"> </w:t>
            </w:r>
            <w:r>
              <w:rPr>
                <w:b/>
                <w:bCs/>
              </w:rPr>
              <w:t xml:space="preserve">$486M</w:t>
            </w:r>
            <w:r>
              <w:t xml:space="preserve">; received in securitizations</w:t>
            </w:r>
            <w:r>
              <w:t xml:space="preserve"> </w:t>
            </w:r>
            <w:r>
              <w:rPr>
                <w:b/>
                <w:bCs/>
              </w:rPr>
              <w:t xml:space="preserve">$240M</w:t>
            </w:r>
            <w:r>
              <w:t xml:space="preserve"> </w:t>
            </w:r>
            <w:r>
              <w:t xml:space="preserve">in FY 2025; discount-rate range</w:t>
            </w:r>
            <w:r>
              <w:t xml:space="preserve"> </w:t>
            </w:r>
            <w:r>
              <w:rPr>
                <w:b/>
                <w:bCs/>
              </w:rPr>
              <w:t xml:space="preserve">5.2%–10.0%</w:t>
            </w:r>
            <w:r>
              <w:t xml:space="preserve"> </w:t>
            </w:r>
            <w:r>
              <w:t xml:space="preserve">(WA 9.0%)</w:t>
            </w:r>
            <w:r>
              <w:t xml:space="preserve"> </w:t>
            </w:r>
            <w:hyperlink r:id="rId21">
              <w:r>
                <w:rPr>
                  <w:rStyle w:val="Hyperlink"/>
                </w:rPr>
                <w:t xml:space="preserve">[64]</w:t>
              </w:r>
            </w:hyperlink>
          </w:p>
        </w:tc>
        <w:tc>
          <w:tcPr/>
          <w:p>
            <w:pPr>
              <w:pStyle w:val="Compact"/>
            </w:pPr>
            <w:r>
              <w:t xml:space="preserve">Sale consideration included retained beneficial interests (5% sponsor interest in rated notes and residual certificate per 10‑Q narrative)</w:t>
            </w:r>
            <w:r>
              <w:t xml:space="preserve"> </w:t>
            </w:r>
            <w:hyperlink r:id="rId29">
              <w:r>
                <w:rPr>
                  <w:rStyle w:val="Hyperlink"/>
                </w:rPr>
                <w:t xml:space="preserve">[16]</w:t>
              </w:r>
            </w:hyperlink>
          </w:p>
        </w:tc>
      </w:tr>
      <w:tr>
        <w:tc>
          <w:tcPr/>
          <w:p>
            <w:pPr>
              <w:pStyle w:val="Compact"/>
            </w:pPr>
            <w:r>
              <w:t xml:space="preserve">Provision / allowance mechanics</w:t>
            </w:r>
          </w:p>
        </w:tc>
        <w:tc>
          <w:tcPr/>
          <w:p>
            <w:pPr>
              <w:pStyle w:val="Compact"/>
            </w:pPr>
            <w:r>
              <w:t xml:space="preserve">Valuation allowance used to carry loans at lower of principal or fair value; interest income on held-for-sale loans is in other sales &amp; revenues; origination costs reduce gain</w:t>
            </w:r>
            <w:r>
              <w:t xml:space="preserve"> </w:t>
            </w:r>
            <w:hyperlink r:id="rId21">
              <w:r>
                <w:rPr>
                  <w:rStyle w:val="Hyperlink"/>
                </w:rPr>
                <w:t xml:space="preserve">[33]</w:t>
              </w:r>
            </w:hyperlink>
          </w:p>
        </w:tc>
        <w:tc>
          <w:tcPr/>
          <w:p>
            <w:pPr>
              <w:pStyle w:val="Compact"/>
            </w:pPr>
            <w:r>
              <w:t xml:space="preserve">Q3 fiscal 2026 provision for loan losses in CAF:</w:t>
            </w:r>
            <w:r>
              <w:t xml:space="preserve"> </w:t>
            </w:r>
            <w:r>
              <w:rPr>
                <w:b/>
                <w:bCs/>
              </w:rPr>
              <w:t xml:space="preserve">$73.4M</w:t>
            </w:r>
            <w:r>
              <w:t xml:space="preserve">; allowance roll-forward and methodology disclosed</w:t>
            </w:r>
            <w:r>
              <w:t xml:space="preserve"> </w:t>
            </w:r>
            <w:hyperlink r:id="rId29">
              <w:r>
                <w:rPr>
                  <w:rStyle w:val="Hyperlink"/>
                </w:rPr>
                <w:t xml:space="preserve">[65]</w:t>
              </w:r>
            </w:hyperlink>
          </w:p>
        </w:tc>
      </w:tr>
    </w:tbl>
    <w:bookmarkEnd w:id="51"/>
    <w:bookmarkStart w:id="52" w:name="X960dde9b3331d00da477502563a7b38f2cc4945"/>
    <w:p>
      <w:pPr>
        <w:pStyle w:val="Heading3"/>
      </w:pPr>
      <w:r>
        <w:t xml:space="preserve">Analytical conclusion: is Carvana’s FY 2025 loan-sale gain level plausible, aggressive, or suspicious?</w:t>
      </w:r>
    </w:p>
    <w:p>
      <w:pPr>
        <w:pStyle w:val="FirstParagraph"/>
      </w:pPr>
      <w:r>
        <w:t xml:space="preserve">The primary sources support the conclusion that Carvana’s large Total GPU contribution from loan-sale gains is</w:t>
      </w:r>
      <w:r>
        <w:t xml:space="preserve"> </w:t>
      </w:r>
      <w:r>
        <w:rPr>
          <w:b/>
          <w:bCs/>
        </w:rPr>
        <w:t xml:space="preserve">mechanically real and strategically core</w:t>
      </w:r>
      <w:r>
        <w:t xml:space="preserve">, not a hidden reclassification: Carvana explicitly reports that it depends on finance receivable sales for a substantial portion of gross profit and embeds loan-sale gains inside a 100% gross margin revenue line that flows directly into GPU.</w:t>
      </w:r>
      <w:r>
        <w:t xml:space="preserve"> </w:t>
      </w:r>
      <w:hyperlink r:id="rId21">
        <w:r>
          <w:rPr>
            <w:rStyle w:val="Hyperlink"/>
          </w:rPr>
          <w:t xml:space="preserve">[66]</w:t>
        </w:r>
      </w:hyperlink>
    </w:p>
    <w:p>
      <w:pPr>
        <w:pStyle w:val="BodyText"/>
      </w:pPr>
      <w:r>
        <w:t xml:space="preserve">On plausibility, the FY 2025 figures can be</w:t>
      </w:r>
      <w:r>
        <w:t xml:space="preserve"> </w:t>
      </w:r>
      <w:r>
        <w:rPr>
          <w:b/>
          <w:bCs/>
        </w:rPr>
        <w:t xml:space="preserve">economically plausible</w:t>
      </w:r>
      <w:r>
        <w:t xml:space="preserve"> </w:t>
      </w:r>
      <w:r>
        <w:t xml:space="preserve">if Carvana originates loans with customer APRs meaningfully above market-required yields (after losses) and/or if securitizations create valuable retained interests that are recognized as part of sale proceeds. Carvana’s disclosures about retained beneficial interests, fair-value measurement (including Level 3 inputs), and the dependency of pricing on interest rates, loss forecasts, and investor demand all align with this economic model.</w:t>
      </w:r>
      <w:r>
        <w:t xml:space="preserve"> </w:t>
      </w:r>
      <w:hyperlink r:id="rId21">
        <w:r>
          <w:rPr>
            <w:rStyle w:val="Hyperlink"/>
          </w:rPr>
          <w:t xml:space="preserve">[67]</w:t>
        </w:r>
      </w:hyperlink>
    </w:p>
    <w:p>
      <w:pPr>
        <w:pStyle w:val="BodyText"/>
      </w:pPr>
      <w:r>
        <w:t xml:space="preserve">On the “suspicious vs. aggressive” dimension, there is</w:t>
      </w:r>
      <w:r>
        <w:t xml:space="preserve"> </w:t>
      </w:r>
      <w:r>
        <w:rPr>
          <w:b/>
          <w:bCs/>
        </w:rPr>
        <w:t xml:space="preserve">not enough evidence in these filings alone</w:t>
      </w:r>
      <w:r>
        <w:t xml:space="preserve"> </w:t>
      </w:r>
      <w:r>
        <w:t xml:space="preserve">to call the accounting improper. But there is a clear quantitative basis to describe the results as</w:t>
      </w:r>
      <w:r>
        <w:t xml:space="preserve"> </w:t>
      </w:r>
      <w:r>
        <w:rPr>
          <w:b/>
          <w:bCs/>
        </w:rPr>
        <w:t xml:space="preserve">potentially aggressive in appearance and high-risk in sustainability</w:t>
      </w:r>
      <w:r>
        <w:t xml:space="preserve">, because:</w:t>
      </w:r>
      <w:r>
        <w:t xml:space="preserve"> </w:t>
      </w:r>
      <w:r>
        <w:t xml:space="preserve">- The implied gain rate (~9–10% of sold principal) is</w:t>
      </w:r>
      <w:r>
        <w:t xml:space="preserve"> </w:t>
      </w:r>
      <w:r>
        <w:rPr>
          <w:b/>
          <w:bCs/>
        </w:rPr>
        <w:t xml:space="preserve">very high compared with CarMax’s disclosed ~3%</w:t>
      </w:r>
      <w:r>
        <w:t xml:space="preserve"> </w:t>
      </w:r>
      <w:r>
        <w:t xml:space="preserve">in its recent sale transaction.</w:t>
      </w:r>
      <w:r>
        <w:t xml:space="preserve"> </w:t>
      </w:r>
      <w:hyperlink r:id="rId21">
        <w:r>
          <w:rPr>
            <w:rStyle w:val="Hyperlink"/>
          </w:rPr>
          <w:t xml:space="preserve">[68]</w:t>
        </w:r>
      </w:hyperlink>
      <w:r>
        <w:br/>
      </w:r>
      <w:r>
        <w:t xml:space="preserve">- A material portion of the economics can be non-cash and model-dependent (retained interests valued with discount-rate assumptions; sensitivity acknowledged by management).</w:t>
      </w:r>
      <w:r>
        <w:t xml:space="preserve"> </w:t>
      </w:r>
      <w:hyperlink r:id="rId21">
        <w:r>
          <w:rPr>
            <w:rStyle w:val="Hyperlink"/>
          </w:rPr>
          <w:t xml:space="preserve">[36]</w:t>
        </w:r>
      </w:hyperlink>
      <w:r>
        <w:br/>
      </w:r>
      <w:r>
        <w:t xml:space="preserve">- The company itself warns that spread compression or reduced investor demand would reduce gains, and therefore reduce gross profit and GPU.</w:t>
      </w:r>
      <w:r>
        <w:t xml:space="preserve"> </w:t>
      </w:r>
      <w:hyperlink r:id="rId21">
        <w:r>
          <w:rPr>
            <w:rStyle w:val="Hyperlink"/>
          </w:rPr>
          <w:t xml:space="preserve">[8]</w:t>
        </w:r>
      </w:hyperlink>
    </w:p>
    <w:p>
      <w:pPr>
        <w:pStyle w:val="BodyText"/>
      </w:pPr>
      <w:r>
        <w:t xml:space="preserve">If you want to resolve remaining uncertainty with higher confidence, the most decisive next documents/analyses would be:</w:t>
      </w:r>
      <w:r>
        <w:t xml:space="preserve"> </w:t>
      </w:r>
      <w:r>
        <w:t xml:space="preserve">1) Securitization deal-level disclosures and trustee reports (cash-flow waterfalls, cumulative net losses, residual performance) for Carvana-sponsored trusts referenced in the filings (to test whether retained interest valuations are conservative).</w:t>
      </w:r>
      <w:r>
        <w:t xml:space="preserve"> </w:t>
      </w:r>
      <w:hyperlink r:id="rId21">
        <w:r>
          <w:rPr>
            <w:rStyle w:val="Hyperlink"/>
          </w:rPr>
          <w:t xml:space="preserve">[42]</w:t>
        </w:r>
      </w:hyperlink>
      <w:r>
        <w:br/>
      </w:r>
      <w:r>
        <w:t xml:space="preserve">2) Forward-flow contract economic terms (including any purchase price adjustments, repurchase/representation enforcement history, and servicing/administration cost allocations), especially for the Ally program—since “purchase price adjustment receivables” and performance thresholds are described as part of the arrangement.</w:t>
      </w:r>
      <w:r>
        <w:t xml:space="preserve"> </w:t>
      </w:r>
      <w:hyperlink r:id="rId21">
        <w:r>
          <w:rPr>
            <w:rStyle w:val="Hyperlink"/>
          </w:rPr>
          <w:t xml:space="preserve">[69]</w:t>
        </w:r>
      </w:hyperlink>
      <w:r>
        <w:br/>
      </w:r>
      <w:r>
        <w:t xml:space="preserve">3) A loan-level cohort analysis (APR, FICO/grade, LTV, term, charge-off and recovery curves) to reconcile whether the implied gain rate is consistent with realized credit performance, especially given rising subprime delinquency pressure in broader markets.</w:t>
      </w:r>
      <w:r>
        <w:t xml:space="preserve"> </w:t>
      </w:r>
      <w:hyperlink r:id="rId43">
        <w:r>
          <w:rPr>
            <w:rStyle w:val="Hyperlink"/>
          </w:rPr>
          <w:t xml:space="preserve">[70]</w:t>
        </w:r>
      </w:hyperlink>
    </w:p>
    <w:bookmarkEnd w:id="52"/>
    <w:bookmarkEnd w:id="53"/>
    <w:bookmarkStart w:id="54" w:name="primary-source-links"/>
    <w:p>
      <w:pPr>
        <w:pStyle w:val="Heading2"/>
      </w:pPr>
      <w:r>
        <w:t xml:space="preserve">Primary source links</w:t>
      </w:r>
    </w:p>
    <w:p>
      <w:pPr>
        <w:pStyle w:val="SourceCode"/>
      </w:pPr>
      <w:r>
        <w:rPr>
          <w:rStyle w:val="VerbatimChar"/>
        </w:rPr>
        <w:t xml:space="preserve">Carvana FY 2025 Form 10-K filing detail (includes filing date, period, and document list)</w:t>
      </w:r>
      <w:r>
        <w:br/>
      </w:r>
      <w:r>
        <w:rPr>
          <w:rStyle w:val="VerbatimChar"/>
        </w:rPr>
        <w:t xml:space="preserve">https://www.sec.gov/Archives/edgar/data/1690820/000169082026000009/0001690820-26-000009-index.htm</w:t>
      </w:r>
      <w:r>
        <w:br/>
      </w:r>
      <w:r>
        <w:br/>
      </w:r>
      <w:r>
        <w:rPr>
          <w:rStyle w:val="VerbatimChar"/>
        </w:rPr>
        <w:t xml:space="preserve">Carvana FY 2025 Form 10-K (full text)</w:t>
      </w:r>
      <w:r>
        <w:br/>
      </w:r>
      <w:r>
        <w:rPr>
          <w:rStyle w:val="VerbatimChar"/>
        </w:rPr>
        <w:t xml:space="preserve">https://www.sec.gov/Archives/edgar/data/1690820/000169082026000009/cvna-20251231.htm</w:t>
      </w:r>
      <w:r>
        <w:br/>
      </w:r>
      <w:r>
        <w:br/>
      </w:r>
      <w:r>
        <w:rPr>
          <w:rStyle w:val="VerbatimChar"/>
        </w:rPr>
        <w:t xml:space="preserve">Carvana FY 2025 earnings materials / shareholder letter (Exhibit 99.1; includes Total GPU tables and GAAP↔non-GAAP definitions)</w:t>
      </w:r>
      <w:r>
        <w:br/>
      </w:r>
      <w:r>
        <w:rPr>
          <w:rStyle w:val="VerbatimChar"/>
        </w:rPr>
        <w:t xml:space="preserve">https://www.sec.gov/Archives/edgar/data/1690820/000169082026000008/a9918-k123125.htm</w:t>
      </w:r>
      <w:r>
        <w:br/>
      </w:r>
      <w:r>
        <w:br/>
      </w:r>
      <w:r>
        <w:rPr>
          <w:rStyle w:val="VerbatimChar"/>
        </w:rPr>
        <w:t xml:space="preserve">CarMax Q3 fiscal 2026 Form 10-Q filing detail</w:t>
      </w:r>
      <w:r>
        <w:br/>
      </w:r>
      <w:r>
        <w:rPr>
          <w:rStyle w:val="VerbatimChar"/>
        </w:rPr>
        <w:t xml:space="preserve">https://www.sec.gov/Archives/edgar/data/1170010/000117001025000131/0001170010-25-000131-index.htm</w:t>
      </w:r>
      <w:r>
        <w:br/>
      </w:r>
      <w:r>
        <w:br/>
      </w:r>
      <w:r>
        <w:rPr>
          <w:rStyle w:val="VerbatimChar"/>
        </w:rPr>
        <w:t xml:space="preserve">CarMax Q3 fiscal 2026 Form 10-Q (full text)</w:t>
      </w:r>
      <w:r>
        <w:br/>
      </w:r>
      <w:r>
        <w:rPr>
          <w:rStyle w:val="VerbatimChar"/>
        </w:rPr>
        <w:t xml:space="preserve">https://www.sec.gov/Archives/edgar/data/1170010/000117001025000131/kmx-20251130.htm</w:t>
      </w:r>
    </w:p>
    <w:bookmarkEnd w:id="54"/>
    <w:bookmarkEnd w:id="55"/>
    <w:bookmarkEnd w:id="56"/>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[24]</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[39]</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hyperlink r:id="rId21">
        <w:r>
          <w:rPr>
            <w:rStyle w:val="Hyperlink"/>
          </w:rPr>
          <w:t xml:space="preserve">[47]</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[53]</w:t>
        </w:r>
      </w:hyperlink>
      <w:r>
        <w:t xml:space="preserve"> </w:t>
      </w:r>
      <w:hyperlink r:id="rId21">
        <w:r>
          <w:rPr>
            <w:rStyle w:val="Hyperlink"/>
          </w:rPr>
          <w:t xml:space="preserve">[57]</w:t>
        </w:r>
      </w:hyperlink>
      <w:r>
        <w:t xml:space="preserve"> </w:t>
      </w:r>
      <w:hyperlink r:id="rId21">
        <w:r>
          <w:rPr>
            <w:rStyle w:val="Hyperlink"/>
          </w:rPr>
          <w:t xml:space="preserve">[61]</w:t>
        </w:r>
      </w:hyperlink>
      <w:r>
        <w:t xml:space="preserve"> </w:t>
      </w:r>
      <w:hyperlink r:id="rId21">
        <w:r>
          <w:rPr>
            <w:rStyle w:val="Hyperlink"/>
          </w:rPr>
          <w:t xml:space="preserve">[62]</w:t>
        </w:r>
      </w:hyperlink>
      <w:r>
        <w:t xml:space="preserve"> </w:t>
      </w:r>
      <w:hyperlink r:id="rId21">
        <w:r>
          <w:rPr>
            <w:rStyle w:val="Hyperlink"/>
          </w:rPr>
          <w:t xml:space="preserve">[64]</w:t>
        </w:r>
      </w:hyperlink>
      <w:r>
        <w:t xml:space="preserve"> </w:t>
      </w:r>
      <w:hyperlink r:id="rId21">
        <w:r>
          <w:rPr>
            <w:rStyle w:val="Hyperlink"/>
          </w:rPr>
          <w:t xml:space="preserve">[66]</w:t>
        </w:r>
      </w:hyperlink>
      <w:r>
        <w:t xml:space="preserve"> </w:t>
      </w:r>
      <w:hyperlink r:id="rId21">
        <w:r>
          <w:rPr>
            <w:rStyle w:val="Hyperlink"/>
          </w:rPr>
          <w:t xml:space="preserve">[67]</w:t>
        </w:r>
      </w:hyperlink>
      <w:r>
        <w:t xml:space="preserve"> </w:t>
      </w:r>
      <w:hyperlink r:id="rId21">
        <w:r>
          <w:rPr>
            <w:rStyle w:val="Hyperlink"/>
          </w:rPr>
          <w:t xml:space="preserve">[68]</w:t>
        </w:r>
      </w:hyperlink>
      <w:r>
        <w:t xml:space="preserve"> </w:t>
      </w:r>
      <w:hyperlink r:id="rId21">
        <w:r>
          <w:rPr>
            <w:rStyle w:val="Hyperlink"/>
          </w:rPr>
          <w:t xml:space="preserve">[69]</w:t>
        </w:r>
      </w:hyperlink>
      <w:r>
        <w:t xml:space="preserve"> </w:t>
      </w:r>
      <w:r>
        <w:t xml:space="preserve">https://www.sec.gov/Archives/edgar/data/1690820/000169082026000009/cvna-20251231.htm</w:t>
      </w:r>
    </w:p>
    <w:p>
      <w:pPr>
        <w:pStyle w:val="BodyText"/>
      </w:pPr>
      <w:hyperlink r:id="rId21">
        <w:r>
          <w:rPr>
            <w:rStyle w:val="Hyperlink"/>
          </w:rPr>
          <w:t xml:space="preserve">https://www.sec.gov/Archives/edgar/data/1690820/000169082026000009/cvna-20251231.htm</w:t>
        </w:r>
      </w:hyperlink>
    </w:p>
    <w:p>
      <w:pPr>
        <w:pStyle w:val="BodyText"/>
      </w:pPr>
      <w:hyperlink r:id="rId22">
        <w:r>
          <w:rPr>
            <w:rStyle w:val="Hyperlink"/>
          </w:rPr>
          <w:t xml:space="preserve">[4]</w:t>
        </w:r>
      </w:hyperlink>
      <w:r>
        <w:t xml:space="preserve"> </w:t>
      </w:r>
      <w:hyperlink r:id="rId22">
        <w:r>
          <w:rPr>
            <w:rStyle w:val="Hyperlink"/>
          </w:rPr>
          <w:t xml:space="preserve">[10]</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[19]</w:t>
        </w:r>
      </w:hyperlink>
      <w:r>
        <w:t xml:space="preserve"> </w:t>
      </w:r>
      <w:hyperlink r:id="rId22">
        <w:r>
          <w:rPr>
            <w:rStyle w:val="Hyperlink"/>
          </w:rPr>
          <w:t xml:space="preserve">[22]</w:t>
        </w:r>
      </w:hyperlink>
      <w:r>
        <w:t xml:space="preserve"> </w:t>
      </w:r>
      <w:hyperlink r:id="rId22">
        <w:r>
          <w:rPr>
            <w:rStyle w:val="Hyperlink"/>
          </w:rPr>
          <w:t xml:space="preserve">[23]</w:t>
        </w:r>
      </w:hyperlink>
      <w:r>
        <w:t xml:space="preserve"> </w:t>
      </w:r>
      <w:hyperlink r:id="rId22">
        <w:r>
          <w:rPr>
            <w:rStyle w:val="Hyperlink"/>
          </w:rPr>
          <w:t xml:space="preserve">[25]</w:t>
        </w:r>
      </w:hyperlink>
      <w:r>
        <w:t xml:space="preserve"> </w:t>
      </w:r>
      <w:hyperlink r:id="rId22">
        <w:r>
          <w:rPr>
            <w:rStyle w:val="Hyperlink"/>
          </w:rPr>
          <w:t xml:space="preserve">[37]</w:t>
        </w:r>
      </w:hyperlink>
      <w:r>
        <w:t xml:space="preserve"> </w:t>
      </w:r>
      <w:hyperlink r:id="rId22">
        <w:r>
          <w:rPr>
            <w:rStyle w:val="Hyperlink"/>
          </w:rPr>
          <w:t xml:space="preserve">[38]</w:t>
        </w:r>
      </w:hyperlink>
      <w:r>
        <w:t xml:space="preserve"> </w:t>
      </w:r>
      <w:hyperlink r:id="rId22">
        <w:r>
          <w:rPr>
            <w:rStyle w:val="Hyperlink"/>
          </w:rPr>
          <w:t xml:space="preserve">[52]</w:t>
        </w:r>
      </w:hyperlink>
      <w:r>
        <w:t xml:space="preserve"> </w:t>
      </w:r>
      <w:r>
        <w:t xml:space="preserve">https://www.sec.gov/Archives/edgar/data/1690820/000169082026000008/a9918-k123125.htm</w:t>
      </w:r>
    </w:p>
    <w:p>
      <w:pPr>
        <w:pStyle w:val="BodyText"/>
      </w:pPr>
      <w:hyperlink r:id="rId22">
        <w:r>
          <w:rPr>
            <w:rStyle w:val="Hyperlink"/>
          </w:rPr>
          <w:t xml:space="preserve">https://www.sec.gov/Archives/edgar/data/1690820/000169082026000008/a9918-k123125.htm</w:t>
        </w:r>
      </w:hyperlink>
    </w:p>
    <w:p>
      <w:pPr>
        <w:pStyle w:val="BodyText"/>
      </w:pPr>
      <w:hyperlink r:id="rId23">
        <w:r>
          <w:rPr>
            <w:rStyle w:val="Hyperlink"/>
          </w:rPr>
          <w:t xml:space="preserve">[6]</w:t>
        </w:r>
      </w:hyperlink>
      <w:r>
        <w:t xml:space="preserve"> </w:t>
      </w:r>
      <w:hyperlink r:id="rId23">
        <w:r>
          <w:rPr>
            <w:rStyle w:val="Hyperlink"/>
          </w:rPr>
          <w:t xml:space="preserve">[43]</w:t>
        </w:r>
      </w:hyperlink>
      <w:r>
        <w:t xml:space="preserve"> </w:t>
      </w:r>
      <w:r>
        <w:t xml:space="preserve">https://dart.deloitte.com/USDART/home/codification/broad-transactions/asc860-10/roadmap-transfers-financial-assets/chapter-6-servicing-assets-liabilities/6-3-initial-measurement</w:t>
      </w:r>
    </w:p>
    <w:p>
      <w:pPr>
        <w:pStyle w:val="BodyText"/>
      </w:pPr>
      <w:hyperlink r:id="rId23">
        <w:r>
          <w:rPr>
            <w:rStyle w:val="Hyperlink"/>
          </w:rPr>
          <w:t xml:space="preserve">https://dart.deloitte.com/USDART/home/codification/broad-transactions/asc860-10/roadmap-transfers-financial-assets/chapter-6-servicing-assets-liabilities/6-3-initial-measurement</w:t>
        </w:r>
      </w:hyperlink>
    </w:p>
    <w:p>
      <w:pPr>
        <w:pStyle w:val="BodyText"/>
      </w:pPr>
      <w:hyperlink r:id="rId24">
        <w:r>
          <w:rPr>
            <w:rStyle w:val="Hyperlink"/>
          </w:rPr>
          <w:t xml:space="preserve">[9]</w:t>
        </w:r>
      </w:hyperlink>
      <w:r>
        <w:t xml:space="preserve"> </w:t>
      </w:r>
      <w:hyperlink r:id="rId24">
        <w:r>
          <w:rPr>
            <w:rStyle w:val="Hyperlink"/>
          </w:rPr>
          <w:t xml:space="preserve">[18]</w:t>
        </w:r>
      </w:hyperlink>
      <w:r>
        <w:t xml:space="preserve"> </w:t>
      </w:r>
      <w:hyperlink r:id="rId24">
        <w:r>
          <w:rPr>
            <w:rStyle w:val="Hyperlink"/>
          </w:rPr>
          <w:t xml:space="preserve">[58]</w:t>
        </w:r>
      </w:hyperlink>
      <w:r>
        <w:t xml:space="preserve"> </w:t>
      </w:r>
      <w:r>
        <w:t xml:space="preserve">https://www.sec.gov/Archives/edgar/data/1690820/000169082026000009/0001690820-26-000009-index.htm</w:t>
      </w:r>
    </w:p>
    <w:p>
      <w:pPr>
        <w:pStyle w:val="BodyText"/>
      </w:pPr>
      <w:hyperlink r:id="rId24">
        <w:r>
          <w:rPr>
            <w:rStyle w:val="Hyperlink"/>
          </w:rPr>
          <w:t xml:space="preserve">https://www.sec.gov/Archives/edgar/data/1690820/000169082026000009/0001690820-26-000009-index.htm</w:t>
        </w:r>
      </w:hyperlink>
    </w:p>
    <w:p>
      <w:pPr>
        <w:pStyle w:val="BodyText"/>
      </w:pPr>
      <w:hyperlink r:id="rId25">
        <w:r>
          <w:rPr>
            <w:rStyle w:val="Hyperlink"/>
          </w:rPr>
          <w:t xml:space="preserve">[11]</w:t>
        </w:r>
      </w:hyperlink>
      <w:r>
        <w:t xml:space="preserve"> </w:t>
      </w:r>
      <w:hyperlink r:id="rId25">
        <w:r>
          <w:rPr>
            <w:rStyle w:val="Hyperlink"/>
          </w:rPr>
          <w:t xml:space="preserve">[26]</w:t>
        </w:r>
      </w:hyperlink>
      <w:r>
        <w:t xml:space="preserve"> </w:t>
      </w:r>
      <w:hyperlink r:id="rId25">
        <w:r>
          <w:rPr>
            <w:rStyle w:val="Hyperlink"/>
          </w:rPr>
          <w:t xml:space="preserve">[59]</w:t>
        </w:r>
      </w:hyperlink>
      <w:r>
        <w:t xml:space="preserve"> </w:t>
      </w:r>
      <w:r>
        <w:t xml:space="preserve">https://www.sec.gov/Archives/edgar/data/1170010/000117001025000131/0001170010-25-000131-index.htm</w:t>
      </w:r>
    </w:p>
    <w:p>
      <w:pPr>
        <w:pStyle w:val="BodyText"/>
      </w:pPr>
      <w:hyperlink r:id="rId25">
        <w:r>
          <w:rPr>
            <w:rStyle w:val="Hyperlink"/>
          </w:rPr>
          <w:t xml:space="preserve">https://www.sec.gov/Archives/edgar/data/1170010/000117001025000131/0001170010-25-000131-index.htm</w:t>
        </w:r>
      </w:hyperlink>
    </w:p>
    <w:p>
      <w:pPr>
        <w:pStyle w:val="BodyText"/>
      </w:pPr>
      <w:hyperlink r:id="rId29">
        <w:r>
          <w:rPr>
            <w:rStyle w:val="Hyperlink"/>
          </w:rPr>
          <w:t xml:space="preserve">[16]</w:t>
        </w:r>
      </w:hyperlink>
      <w:r>
        <w:t xml:space="preserve"> </w:t>
      </w:r>
      <w:hyperlink r:id="rId29">
        <w:r>
          <w:rPr>
            <w:rStyle w:val="Hyperlink"/>
          </w:rPr>
          <w:t xml:space="preserve">[17]</w:t>
        </w:r>
      </w:hyperlink>
      <w:r>
        <w:t xml:space="preserve"> </w:t>
      </w:r>
      <w:hyperlink r:id="rId29">
        <w:r>
          <w:rPr>
            <w:rStyle w:val="Hyperlink"/>
          </w:rPr>
          <w:t xml:space="preserve">[54]</w:t>
        </w:r>
      </w:hyperlink>
      <w:r>
        <w:t xml:space="preserve"> </w:t>
      </w:r>
      <w:hyperlink r:id="rId29">
        <w:r>
          <w:rPr>
            <w:rStyle w:val="Hyperlink"/>
          </w:rPr>
          <w:t xml:space="preserve">[55]</w:t>
        </w:r>
      </w:hyperlink>
      <w:r>
        <w:t xml:space="preserve"> </w:t>
      </w:r>
      <w:hyperlink r:id="rId29">
        <w:r>
          <w:rPr>
            <w:rStyle w:val="Hyperlink"/>
          </w:rPr>
          <w:t xml:space="preserve">[56]</w:t>
        </w:r>
      </w:hyperlink>
      <w:r>
        <w:t xml:space="preserve"> </w:t>
      </w:r>
      <w:hyperlink r:id="rId29">
        <w:r>
          <w:rPr>
            <w:rStyle w:val="Hyperlink"/>
          </w:rPr>
          <w:t xml:space="preserve">[60]</w:t>
        </w:r>
      </w:hyperlink>
      <w:r>
        <w:t xml:space="preserve"> </w:t>
      </w:r>
      <w:hyperlink r:id="rId29">
        <w:r>
          <w:rPr>
            <w:rStyle w:val="Hyperlink"/>
          </w:rPr>
          <w:t xml:space="preserve">[63]</w:t>
        </w:r>
      </w:hyperlink>
      <w:r>
        <w:t xml:space="preserve"> </w:t>
      </w:r>
      <w:hyperlink r:id="rId29">
        <w:r>
          <w:rPr>
            <w:rStyle w:val="Hyperlink"/>
          </w:rPr>
          <w:t xml:space="preserve">[65]</w:t>
        </w:r>
      </w:hyperlink>
      <w:r>
        <w:t xml:space="preserve"> </w:t>
      </w:r>
      <w:r>
        <w:t xml:space="preserve">https://www.sec.gov/Archives/edgar/data/1170010/000117001025000131/kmx-20251130.htm</w:t>
      </w:r>
    </w:p>
    <w:p>
      <w:pPr>
        <w:pStyle w:val="BodyText"/>
      </w:pPr>
      <w:hyperlink r:id="rId29">
        <w:r>
          <w:rPr>
            <w:rStyle w:val="Hyperlink"/>
          </w:rPr>
          <w:t xml:space="preserve">https://www.sec.gov/Archives/edgar/data/1170010/000117001025000131/kmx-20251130.htm</w:t>
        </w:r>
      </w:hyperlink>
    </w:p>
    <w:p>
      <w:pPr>
        <w:pStyle w:val="BodyText"/>
      </w:pPr>
      <w:hyperlink r:id="rId43">
        <w:r>
          <w:rPr>
            <w:rStyle w:val="Hyperlink"/>
          </w:rPr>
          <w:t xml:space="preserve">[46]</w:t>
        </w:r>
      </w:hyperlink>
      <w:r>
        <w:t xml:space="preserve"> </w:t>
      </w:r>
      <w:hyperlink r:id="rId43">
        <w:r>
          <w:rPr>
            <w:rStyle w:val="Hyperlink"/>
          </w:rPr>
          <w:t xml:space="preserve">[70]</w:t>
        </w:r>
      </w:hyperlink>
      <w:r>
        <w:t xml:space="preserve"> </w:t>
      </w:r>
      <w:r>
        <w:t xml:space="preserve">https://www.reuters.com/business/autos-transportation/record-number-subprime-borrowers-miss-car-loan-payments-october-data-shows-2025-11-12/</w:t>
      </w:r>
    </w:p>
    <w:p>
      <w:pPr>
        <w:pStyle w:val="BodyText"/>
      </w:pPr>
      <w:hyperlink r:id="rId43">
        <w:r>
          <w:rPr>
            <w:rStyle w:val="Hyperlink"/>
          </w:rPr>
          <w:t xml:space="preserve">https://www.reuters.com/business/autos-transportation/record-number-subprime-borrowers-miss-car-loan-payments-october-data-shows-2025-11-12/</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dart.deloitte.com/USDART/home/codification/broad-transactions/asc860-10/roadmap-transfers-financial-assets/chapter-6-servicing-assets-liabilities/6-3-initial-measurement" TargetMode="External" /><Relationship Type="http://schemas.openxmlformats.org/officeDocument/2006/relationships/hyperlink" Id="rId43" Target="https://www.reuters.com/business/autos-transportation/record-number-subprime-borrowers-miss-car-loan-payments-october-data-shows-2025-11-12/" TargetMode="External" /><Relationship Type="http://schemas.openxmlformats.org/officeDocument/2006/relationships/hyperlink" Id="rId25" Target="https://www.sec.gov/Archives/edgar/data/1170010/000117001025000131/0001170010-25-000131-index.htm" TargetMode="External" /><Relationship Type="http://schemas.openxmlformats.org/officeDocument/2006/relationships/hyperlink" Id="rId29" Target="https://www.sec.gov/Archives/edgar/data/1170010/000117001025000131/kmx-20251130.htm" TargetMode="External" /><Relationship Type="http://schemas.openxmlformats.org/officeDocument/2006/relationships/hyperlink" Id="rId22" Target="https://www.sec.gov/Archives/edgar/data/1690820/000169082026000008/a9918-k123125.htm" TargetMode="External" /><Relationship Type="http://schemas.openxmlformats.org/officeDocument/2006/relationships/hyperlink" Id="rId24" Target="https://www.sec.gov/Archives/edgar/data/1690820/000169082026000009/0001690820-26-000009-index.htm" TargetMode="External" /><Relationship Type="http://schemas.openxmlformats.org/officeDocument/2006/relationships/hyperlink" Id="rId21" Target="https://www.sec.gov/Archives/edgar/data/1690820/000169082026000009/cvna-20251231.htm" TargetMode="External" /></Relationships>
</file>

<file path=word/_rels/footnotes.xml.rels><?xml version="1.0" encoding="UTF-8"?><Relationships xmlns="http://schemas.openxmlformats.org/package/2006/relationships"><Relationship Type="http://schemas.openxmlformats.org/officeDocument/2006/relationships/hyperlink" Id="rId23" Target="https://dart.deloitte.com/USDART/home/codification/broad-transactions/asc860-10/roadmap-transfers-financial-assets/chapter-6-servicing-assets-liabilities/6-3-initial-measurement" TargetMode="External" /><Relationship Type="http://schemas.openxmlformats.org/officeDocument/2006/relationships/hyperlink" Id="rId43" Target="https://www.reuters.com/business/autos-transportation/record-number-subprime-borrowers-miss-car-loan-payments-october-data-shows-2025-11-12/" TargetMode="External" /><Relationship Type="http://schemas.openxmlformats.org/officeDocument/2006/relationships/hyperlink" Id="rId25" Target="https://www.sec.gov/Archives/edgar/data/1170010/000117001025000131/0001170010-25-000131-index.htm" TargetMode="External" /><Relationship Type="http://schemas.openxmlformats.org/officeDocument/2006/relationships/hyperlink" Id="rId29" Target="https://www.sec.gov/Archives/edgar/data/1170010/000117001025000131/kmx-20251130.htm" TargetMode="External" /><Relationship Type="http://schemas.openxmlformats.org/officeDocument/2006/relationships/hyperlink" Id="rId22" Target="https://www.sec.gov/Archives/edgar/data/1690820/000169082026000008/a9918-k123125.htm" TargetMode="External" /><Relationship Type="http://schemas.openxmlformats.org/officeDocument/2006/relationships/hyperlink" Id="rId24" Target="https://www.sec.gov/Archives/edgar/data/1690820/000169082026000009/0001690820-26-000009-index.htm" TargetMode="External" /><Relationship Type="http://schemas.openxmlformats.org/officeDocument/2006/relationships/hyperlink" Id="rId21" Target="https://www.sec.gov/Archives/edgar/data/1690820/000169082026000009/cvna-20251231.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2026-02-24T19:20:09Z</dcterms:created>
  <dcterms:modified xsi:type="dcterms:W3CDTF">2026-02-24T19:20:09Z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